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Arial" w:hAnsi="Arial" w:cs="Arial"/>
          <w:sz w:val="22"/>
          <w:szCs w:val="22"/>
          <w:lang w:val="en-US"/>
        </w:rPr>
      </w:pPr>
      <w:bookmarkStart w:id="0" w:name="_GoBack"/>
      <w:r>
        <w:rPr>
          <w:rFonts w:hint="default" w:ascii="Arial" w:hAnsi="Arial" w:cs="Arial"/>
          <w:b/>
          <w:bCs/>
          <w:sz w:val="22"/>
          <w:szCs w:val="22"/>
          <w:lang w:val="en-US"/>
        </w:rPr>
        <w:t>Amazon Financial Report as at 31</w:t>
      </w:r>
      <w:r>
        <w:rPr>
          <w:rFonts w:hint="default" w:ascii="Arial" w:hAnsi="Arial" w:cs="Arial"/>
          <w:b/>
          <w:bCs/>
          <w:sz w:val="22"/>
          <w:szCs w:val="22"/>
          <w:vertAlign w:val="superscript"/>
          <w:lang w:val="en-US"/>
        </w:rPr>
        <w:t>st</w:t>
      </w:r>
      <w:r>
        <w:rPr>
          <w:rFonts w:hint="default" w:ascii="Arial" w:hAnsi="Arial" w:cs="Arial"/>
          <w:b/>
          <w:bCs/>
          <w:sz w:val="22"/>
          <w:szCs w:val="22"/>
          <w:lang w:val="en-US"/>
        </w:rPr>
        <w:t xml:space="preserve"> December, 2022.</w:t>
      </w:r>
      <w:r>
        <w:rPr>
          <w:rFonts w:hint="default" w:ascii="Arial" w:hAnsi="Arial" w:cs="Arial"/>
          <w:b/>
          <w:bCs/>
          <w:sz w:val="22"/>
          <w:szCs w:val="22"/>
          <w:lang w:val="en-US"/>
        </w:rPr>
        <w:br w:type="textWrapping"/>
      </w:r>
      <w:bookmarkEnd w:id="0"/>
    </w:p>
    <w:p>
      <w:pPr>
        <w:rPr>
          <w:rFonts w:hint="default" w:ascii="Arial" w:hAnsi="Arial" w:cs="Arial"/>
          <w:sz w:val="22"/>
          <w:szCs w:val="22"/>
          <w:lang w:val="en-US"/>
        </w:rPr>
      </w:pPr>
      <w:r>
        <w:rPr>
          <w:rFonts w:hint="default" w:ascii="Arial" w:hAnsi="Arial" w:cs="Arial"/>
          <w:sz w:val="22"/>
          <w:szCs w:val="22"/>
          <w:lang w:val="en-US"/>
        </w:rPr>
        <w:t>Liquidity Ratio</w:t>
      </w:r>
    </w:p>
    <w:p>
      <w:pPr>
        <w:rPr>
          <w:rFonts w:hint="default" w:ascii="Arial" w:hAnsi="Arial" w:cs="Arial"/>
          <w:sz w:val="22"/>
          <w:szCs w:val="22"/>
          <w:lang w:val="en-US"/>
        </w:rPr>
      </w:pPr>
    </w:p>
    <w:p>
      <w:pPr>
        <w:numPr>
          <w:ilvl w:val="0"/>
          <w:numId w:val="1"/>
        </w:numPr>
        <w:rPr>
          <w:rFonts w:hint="default" w:ascii="Arial" w:hAnsi="Arial" w:cs="Arial"/>
          <w:b w:val="0"/>
          <w:bCs w:val="0"/>
          <w:color w:val="000000"/>
          <w:sz w:val="22"/>
          <w:szCs w:val="22"/>
          <w:rtl w:val="0"/>
          <w:lang w:val="en-US"/>
        </w:rPr>
      </w:pPr>
      <w:r>
        <w:rPr>
          <w:rFonts w:hint="default" w:ascii="Arial" w:hAnsi="Arial" w:cs="Arial"/>
          <w:b w:val="0"/>
          <w:bCs w:val="0"/>
          <w:color w:val="000000"/>
          <w:sz w:val="22"/>
          <w:szCs w:val="22"/>
          <w:rtl w:val="0"/>
          <w:lang w:val="en-US"/>
        </w:rPr>
        <w:t xml:space="preserve">Current Ratio </w:t>
      </w:r>
    </w:p>
    <w:p>
      <w:pPr>
        <w:numPr>
          <w:numId w:val="0"/>
        </w:numPr>
        <w:rPr>
          <w:rFonts w:hint="default" w:ascii="Arial" w:hAnsi="Arial" w:cs="Arial"/>
          <w:b w:val="0"/>
          <w:bCs w:val="0"/>
          <w:color w:val="000000"/>
          <w:sz w:val="22"/>
          <w:szCs w:val="22"/>
          <w:rtl w:val="0"/>
          <w:lang w:val="en-US"/>
        </w:rPr>
      </w:pPr>
    </w:p>
    <w:p>
      <w:pPr>
        <w:numPr>
          <w:numId w:val="0"/>
        </w:numPr>
        <w:rPr>
          <w:rFonts w:hint="default" w:ascii="Arial" w:hAnsi="Arial" w:cs="Arial"/>
          <w:b w:val="0"/>
          <w:bCs w:val="0"/>
          <w:color w:val="000000"/>
          <w:sz w:val="22"/>
          <w:szCs w:val="22"/>
          <w:rtl w:val="0"/>
          <w:lang w:val="en-US"/>
        </w:rPr>
      </w:pPr>
      <w:r>
        <w:rPr>
          <w:rFonts w:hint="default" w:ascii="Arial" w:hAnsi="Arial" w:cs="Arial"/>
          <w:b w:val="0"/>
          <w:bCs w:val="0"/>
          <w:color w:val="000000"/>
          <w:sz w:val="22"/>
          <w:szCs w:val="22"/>
          <w:rtl w:val="0"/>
          <w:lang w:val="en-US"/>
        </w:rPr>
        <w:t>The current ratio is 1.14</w:t>
      </w:r>
      <w:r>
        <w:rPr>
          <w:rFonts w:hint="default" w:ascii="Arial" w:hAnsi="Arial" w:cs="Arial"/>
          <w:b w:val="0"/>
          <w:bCs w:val="0"/>
          <w:color w:val="000000"/>
          <w:sz w:val="22"/>
          <w:szCs w:val="22"/>
          <w:rtl w:val="0"/>
          <w:lang w:val="en-US"/>
        </w:rPr>
        <w:t xml:space="preserve">  and 0.94 for year 2021 and 2022 respectively.</w:t>
      </w:r>
    </w:p>
    <w:p>
      <w:pPr>
        <w:numPr>
          <w:numId w:val="0"/>
        </w:numPr>
        <w:rPr>
          <w:rFonts w:hint="default" w:ascii="Arial" w:hAnsi="Arial" w:cs="Arial"/>
          <w:b w:val="0"/>
          <w:bCs w:val="0"/>
          <w:color w:val="000000"/>
          <w:sz w:val="22"/>
          <w:szCs w:val="22"/>
          <w:rtl w:val="0"/>
          <w:lang w:val="en-US"/>
        </w:rPr>
      </w:pPr>
      <w:r>
        <w:rPr>
          <w:rFonts w:hint="default" w:ascii="Arial" w:hAnsi="Arial" w:cs="Arial"/>
          <w:b w:val="0"/>
          <w:bCs w:val="0"/>
          <w:color w:val="000000"/>
          <w:sz w:val="22"/>
          <w:szCs w:val="22"/>
          <w:rtl w:val="0"/>
          <w:lang w:val="en-US"/>
        </w:rPr>
        <w:t>The ratio is greater than 1 in the year 2021 indicating that the company has more current assets than current liabilities, further suggesting it can meet its short-term obligations. However, the ratio falls less than 1 in 2022 suggesting that Amazon may have difficulty meeting its short-term liabilities with its current assets.</w:t>
      </w:r>
    </w:p>
    <w:p>
      <w:pPr>
        <w:numPr>
          <w:numId w:val="0"/>
        </w:numPr>
        <w:rPr>
          <w:rFonts w:hint="default" w:ascii="Arial" w:hAnsi="Arial" w:cs="Arial"/>
          <w:b w:val="0"/>
          <w:bCs w:val="0"/>
          <w:color w:val="000000"/>
          <w:sz w:val="22"/>
          <w:szCs w:val="22"/>
          <w:rtl w:val="0"/>
          <w:lang w:val="en-US"/>
        </w:rPr>
      </w:pPr>
    </w:p>
    <w:p>
      <w:pPr>
        <w:numPr>
          <w:numId w:val="0"/>
        </w:numPr>
        <w:rPr>
          <w:rFonts w:hint="default" w:ascii="Arial" w:hAnsi="Arial" w:cs="Arial"/>
          <w:b w:val="0"/>
          <w:bCs w:val="0"/>
          <w:color w:val="000000"/>
          <w:sz w:val="22"/>
          <w:szCs w:val="22"/>
          <w:rtl w:val="0"/>
          <w:lang w:val="en-US"/>
        </w:rPr>
      </w:pPr>
      <w:r>
        <w:rPr>
          <w:rFonts w:hint="default" w:ascii="Arial" w:hAnsi="Arial" w:cs="Arial"/>
          <w:b w:val="0"/>
          <w:bCs w:val="0"/>
          <w:color w:val="000000"/>
          <w:sz w:val="22"/>
          <w:szCs w:val="22"/>
          <w:rtl w:val="0"/>
          <w:lang w:val="en-US"/>
        </w:rPr>
        <w:t>Furthermore, for every $1 of current liabilities, the company has $1.14 and $0.94 of current assets available to cover those liabilities for year 2021 and 2022 respectively.</w:t>
      </w:r>
    </w:p>
    <w:p>
      <w:pPr>
        <w:numPr>
          <w:numId w:val="0"/>
        </w:numPr>
        <w:rPr>
          <w:rFonts w:hint="default" w:ascii="Arial" w:hAnsi="Arial" w:cs="Arial"/>
          <w:b w:val="0"/>
          <w:bCs w:val="0"/>
          <w:color w:val="000000"/>
          <w:sz w:val="22"/>
          <w:szCs w:val="22"/>
          <w:rtl w:val="0"/>
          <w:lang w:val="en-US"/>
        </w:rPr>
      </w:pPr>
    </w:p>
    <w:p>
      <w:pPr>
        <w:numPr>
          <w:ilvl w:val="0"/>
          <w:numId w:val="1"/>
        </w:numPr>
        <w:rPr>
          <w:rFonts w:hint="default" w:ascii="Arial" w:hAnsi="Arial" w:cs="Arial"/>
          <w:b w:val="0"/>
          <w:bCs w:val="0"/>
          <w:color w:val="000000"/>
          <w:sz w:val="22"/>
          <w:szCs w:val="22"/>
          <w:rtl w:val="0"/>
          <w:lang w:val="en-US"/>
        </w:rPr>
      </w:pPr>
      <w:r>
        <w:rPr>
          <w:rFonts w:hint="default" w:ascii="Arial" w:hAnsi="Arial" w:cs="Arial"/>
          <w:b w:val="0"/>
          <w:bCs w:val="0"/>
          <w:color w:val="000000"/>
          <w:sz w:val="22"/>
          <w:szCs w:val="22"/>
          <w:rtl w:val="0"/>
          <w:lang w:val="en-US"/>
        </w:rPr>
        <w:t>Quick Ratio</w:t>
      </w:r>
    </w:p>
    <w:p>
      <w:pPr>
        <w:numPr>
          <w:numId w:val="0"/>
        </w:numPr>
        <w:rPr>
          <w:rFonts w:hint="default" w:ascii="Arial" w:hAnsi="Arial" w:cs="Arial"/>
          <w:b w:val="0"/>
          <w:bCs w:val="0"/>
          <w:color w:val="000000"/>
          <w:sz w:val="22"/>
          <w:szCs w:val="22"/>
          <w:rtl w:val="0"/>
          <w:lang w:val="en-US"/>
        </w:rPr>
      </w:pPr>
    </w:p>
    <w:p>
      <w:pPr>
        <w:numPr>
          <w:numId w:val="0"/>
        </w:numPr>
        <w:rPr>
          <w:rFonts w:hint="default" w:ascii="Arial" w:hAnsi="Arial" w:cs="Arial"/>
          <w:b w:val="0"/>
          <w:bCs w:val="0"/>
          <w:color w:val="000000"/>
          <w:sz w:val="22"/>
          <w:szCs w:val="22"/>
          <w:rtl w:val="0"/>
          <w:lang w:val="en-US"/>
        </w:rPr>
      </w:pPr>
      <w:r>
        <w:rPr>
          <w:rFonts w:hint="default" w:ascii="Arial" w:hAnsi="Arial" w:cs="Arial"/>
          <w:b w:val="0"/>
          <w:bCs w:val="0"/>
          <w:color w:val="000000"/>
          <w:sz w:val="22"/>
          <w:szCs w:val="22"/>
          <w:rtl w:val="0"/>
          <w:lang w:val="en-US"/>
        </w:rPr>
        <w:t xml:space="preserve">The quick ratio is 0.91 and </w:t>
      </w:r>
      <w:r>
        <w:rPr>
          <w:rFonts w:hint="default" w:ascii="Arial" w:hAnsi="Arial" w:cs="Arial"/>
          <w:b w:val="0"/>
          <w:bCs w:val="0"/>
          <w:color w:val="000000"/>
          <w:sz w:val="22"/>
          <w:szCs w:val="22"/>
          <w:rtl w:val="0"/>
          <w:lang w:val="en-US"/>
        </w:rPr>
        <w:t>0.72  for 2021 and 2022 respectively implying that for $1 of current liabilities, the company has $0.91 and $0.72 of quick assets available to cover those liabilities.</w:t>
      </w:r>
    </w:p>
    <w:p>
      <w:pPr>
        <w:numPr>
          <w:numId w:val="0"/>
        </w:numPr>
        <w:rPr>
          <w:rFonts w:hint="default" w:ascii="Arial" w:hAnsi="Arial" w:cs="Arial"/>
          <w:b w:val="0"/>
          <w:bCs w:val="0"/>
          <w:color w:val="000000"/>
          <w:sz w:val="22"/>
          <w:szCs w:val="22"/>
          <w:rtl w:val="0"/>
          <w:lang w:val="en-US"/>
        </w:rPr>
      </w:pPr>
    </w:p>
    <w:p>
      <w:pPr>
        <w:numPr>
          <w:ilvl w:val="0"/>
          <w:numId w:val="1"/>
        </w:numPr>
        <w:rPr>
          <w:rFonts w:hint="default" w:ascii="Arial" w:hAnsi="Arial" w:cs="Arial"/>
          <w:b w:val="0"/>
          <w:bCs w:val="0"/>
          <w:color w:val="000000"/>
          <w:sz w:val="22"/>
          <w:szCs w:val="22"/>
          <w:rtl w:val="0"/>
          <w:lang w:val="en-US"/>
        </w:rPr>
      </w:pPr>
      <w:r>
        <w:rPr>
          <w:rFonts w:hint="default" w:ascii="Arial" w:hAnsi="Arial" w:cs="Arial"/>
          <w:b w:val="0"/>
          <w:bCs w:val="0"/>
          <w:color w:val="000000"/>
          <w:sz w:val="22"/>
          <w:szCs w:val="22"/>
          <w:rtl w:val="0"/>
          <w:lang w:val="en-US"/>
        </w:rPr>
        <w:t>Cash Ratio</w:t>
      </w:r>
    </w:p>
    <w:p>
      <w:pPr>
        <w:numPr>
          <w:numId w:val="0"/>
        </w:numPr>
        <w:rPr>
          <w:rFonts w:hint="default" w:ascii="Arial" w:hAnsi="Arial" w:cs="Arial"/>
          <w:b w:val="0"/>
          <w:bCs w:val="0"/>
          <w:color w:val="000000"/>
          <w:sz w:val="22"/>
          <w:szCs w:val="22"/>
          <w:rtl w:val="0"/>
          <w:lang w:val="en-US"/>
        </w:rPr>
      </w:pPr>
    </w:p>
    <w:p>
      <w:pPr>
        <w:numPr>
          <w:numId w:val="0"/>
        </w:numPr>
        <w:rPr>
          <w:rFonts w:hint="default" w:ascii="Arial" w:hAnsi="Arial" w:cs="Arial"/>
          <w:b w:val="0"/>
          <w:bCs w:val="0"/>
          <w:color w:val="000000"/>
          <w:sz w:val="22"/>
          <w:szCs w:val="22"/>
          <w:rtl w:val="0"/>
          <w:lang w:val="en-US"/>
        </w:rPr>
      </w:pPr>
      <w:r>
        <w:rPr>
          <w:rFonts w:hint="default" w:ascii="Arial" w:hAnsi="Arial" w:cs="Arial"/>
          <w:b w:val="0"/>
          <w:bCs w:val="0"/>
          <w:color w:val="000000"/>
          <w:sz w:val="22"/>
          <w:szCs w:val="22"/>
          <w:rtl w:val="0"/>
          <w:lang w:val="en-US"/>
        </w:rPr>
        <w:t xml:space="preserve">With Cash ratio of 0.68 and </w:t>
      </w:r>
      <w:r>
        <w:rPr>
          <w:rFonts w:hint="default" w:ascii="Arial" w:hAnsi="Arial" w:cs="Arial"/>
          <w:b w:val="0"/>
          <w:bCs w:val="0"/>
          <w:color w:val="000000"/>
          <w:sz w:val="22"/>
          <w:szCs w:val="22"/>
          <w:rtl w:val="0"/>
          <w:lang w:val="en-US"/>
        </w:rPr>
        <w:t xml:space="preserve"> 0.45  for 2021 and 2022 respectively, Amazon has $0.68 in cash and cash equivalents for every $1 of current liabilities in 2021 and $0.45 for every $1 of current liability in 2022.</w:t>
      </w:r>
      <w:r>
        <w:rPr>
          <w:rFonts w:hint="default" w:ascii="Arial" w:hAnsi="Arial" w:cs="Arial"/>
          <w:b w:val="0"/>
          <w:bCs w:val="0"/>
          <w:color w:val="000000"/>
          <w:sz w:val="22"/>
          <w:szCs w:val="22"/>
          <w:rtl w:val="0"/>
          <w:lang w:val="en-US"/>
        </w:rPr>
        <w:t xml:space="preserve"> </w:t>
      </w:r>
    </w:p>
    <w:p>
      <w:pPr>
        <w:numPr>
          <w:numId w:val="0"/>
        </w:numPr>
        <w:rPr>
          <w:rFonts w:hint="default" w:ascii="Arial" w:hAnsi="Arial" w:cs="Arial"/>
          <w:b w:val="0"/>
          <w:bCs w:val="0"/>
          <w:color w:val="000000"/>
          <w:sz w:val="22"/>
          <w:szCs w:val="22"/>
          <w:rtl w:val="0"/>
          <w:lang w:val="en-US"/>
        </w:rPr>
      </w:pPr>
    </w:p>
    <w:p>
      <w:pPr>
        <w:numPr>
          <w:ilvl w:val="0"/>
          <w:numId w:val="1"/>
        </w:numPr>
        <w:rPr>
          <w:rFonts w:hint="default" w:ascii="Arial" w:hAnsi="Arial" w:cs="Arial"/>
          <w:b w:val="0"/>
          <w:bCs w:val="0"/>
          <w:color w:val="000000"/>
          <w:sz w:val="22"/>
          <w:szCs w:val="22"/>
          <w:rtl w:val="0"/>
          <w:lang w:val="en-US"/>
        </w:rPr>
      </w:pPr>
      <w:r>
        <w:rPr>
          <w:rFonts w:hint="default" w:ascii="Arial" w:hAnsi="Arial" w:cs="Arial"/>
          <w:b w:val="0"/>
          <w:bCs w:val="0"/>
          <w:color w:val="000000"/>
          <w:sz w:val="22"/>
          <w:szCs w:val="22"/>
          <w:rtl w:val="0"/>
          <w:lang w:val="en-US"/>
        </w:rPr>
        <w:t>Defensive Interval</w:t>
      </w:r>
    </w:p>
    <w:p>
      <w:pPr>
        <w:numPr>
          <w:numId w:val="0"/>
        </w:numPr>
        <w:rPr>
          <w:rFonts w:hint="default" w:ascii="Arial" w:hAnsi="Arial" w:cs="Arial"/>
          <w:b w:val="0"/>
          <w:bCs w:val="0"/>
          <w:color w:val="000000"/>
          <w:sz w:val="22"/>
          <w:szCs w:val="22"/>
          <w:rtl w:val="0"/>
          <w:lang w:val="en-US"/>
        </w:rPr>
      </w:pPr>
    </w:p>
    <w:p>
      <w:pPr>
        <w:numPr>
          <w:numId w:val="0"/>
        </w:numPr>
        <w:rPr>
          <w:rFonts w:hint="default" w:ascii="Arial" w:hAnsi="Arial" w:cs="Arial"/>
          <w:b w:val="0"/>
          <w:bCs w:val="0"/>
          <w:color w:val="000000"/>
          <w:sz w:val="22"/>
          <w:szCs w:val="22"/>
          <w:rtl w:val="0"/>
          <w:lang w:val="en-US"/>
        </w:rPr>
      </w:pPr>
      <w:r>
        <w:rPr>
          <w:rFonts w:hint="default" w:ascii="Arial" w:hAnsi="Arial" w:cs="Arial"/>
          <w:b w:val="0"/>
          <w:bCs w:val="0"/>
          <w:color w:val="000000"/>
          <w:sz w:val="22"/>
          <w:szCs w:val="22"/>
          <w:rtl w:val="0"/>
          <w:lang w:val="en-US"/>
        </w:rPr>
        <w:t xml:space="preserve">From the calculated ratios of 114.65 and </w:t>
      </w:r>
      <w:r>
        <w:rPr>
          <w:rFonts w:hint="default" w:ascii="Arial" w:hAnsi="Arial" w:cs="Arial"/>
          <w:b w:val="0"/>
          <w:bCs w:val="0"/>
          <w:color w:val="000000"/>
          <w:sz w:val="22"/>
          <w:szCs w:val="22"/>
          <w:rtl w:val="0"/>
          <w:lang w:val="en-US"/>
        </w:rPr>
        <w:t>89.21</w:t>
      </w:r>
      <w:r>
        <w:rPr>
          <w:rFonts w:hint="default" w:ascii="Arial" w:hAnsi="Arial" w:cs="Arial"/>
          <w:b w:val="0"/>
          <w:bCs w:val="0"/>
          <w:color w:val="000000"/>
          <w:sz w:val="22"/>
          <w:szCs w:val="22"/>
          <w:rtl w:val="0"/>
          <w:lang w:val="en-US"/>
        </w:rPr>
        <w:t>, Amazon could theoretically continue operating for 114.5 days for year 2021 and 89.21 days for 2022 without needing to access any additional funding or sell any non-current assets.</w:t>
      </w:r>
    </w:p>
    <w:p>
      <w:pPr>
        <w:numPr>
          <w:numId w:val="0"/>
        </w:numPr>
        <w:rPr>
          <w:rFonts w:hint="default" w:ascii="Arial" w:hAnsi="Arial" w:cs="Arial"/>
          <w:b w:val="0"/>
          <w:bCs w:val="0"/>
          <w:color w:val="000000"/>
          <w:sz w:val="22"/>
          <w:szCs w:val="22"/>
          <w:rtl w:val="0"/>
          <w:lang w:val="en-US"/>
        </w:rPr>
      </w:pPr>
    </w:p>
    <w:p>
      <w:pPr>
        <w:numPr>
          <w:ilvl w:val="0"/>
          <w:numId w:val="1"/>
        </w:numPr>
        <w:rPr>
          <w:rFonts w:hint="default" w:ascii="Arial" w:hAnsi="Arial" w:cs="Arial"/>
          <w:b w:val="0"/>
          <w:bCs w:val="0"/>
          <w:color w:val="000000"/>
          <w:sz w:val="22"/>
          <w:szCs w:val="22"/>
          <w:rtl w:val="0"/>
          <w:lang w:val="en-US"/>
        </w:rPr>
      </w:pPr>
      <w:r>
        <w:rPr>
          <w:rFonts w:hint="default" w:ascii="Arial" w:hAnsi="Arial" w:cs="Arial"/>
          <w:b w:val="0"/>
          <w:bCs w:val="0"/>
          <w:color w:val="000000"/>
          <w:sz w:val="22"/>
          <w:szCs w:val="22"/>
          <w:rtl w:val="0"/>
          <w:lang w:val="en-US"/>
        </w:rPr>
        <w:t>Inventory Days</w:t>
      </w:r>
    </w:p>
    <w:p>
      <w:pPr>
        <w:numPr>
          <w:numId w:val="0"/>
        </w:numPr>
        <w:rPr>
          <w:rFonts w:hint="default" w:ascii="Arial" w:hAnsi="Arial" w:cs="Arial"/>
          <w:b w:val="0"/>
          <w:bCs w:val="0"/>
          <w:color w:val="000000"/>
          <w:sz w:val="22"/>
          <w:szCs w:val="22"/>
          <w:rtl w:val="0"/>
          <w:lang w:val="en-US"/>
        </w:rPr>
      </w:pPr>
    </w:p>
    <w:p>
      <w:pPr>
        <w:numPr>
          <w:numId w:val="0"/>
        </w:numPr>
        <w:rPr>
          <w:rFonts w:hint="default" w:ascii="Arial" w:hAnsi="Arial" w:cs="Arial"/>
          <w:b w:val="0"/>
          <w:bCs w:val="0"/>
          <w:color w:val="000000"/>
          <w:sz w:val="22"/>
          <w:szCs w:val="22"/>
          <w:rtl w:val="0"/>
          <w:lang w:val="en-US"/>
        </w:rPr>
      </w:pPr>
      <w:r>
        <w:rPr>
          <w:rFonts w:hint="default" w:ascii="Arial" w:hAnsi="Arial" w:cs="Arial"/>
          <w:b w:val="0"/>
          <w:bCs w:val="0"/>
          <w:color w:val="000000"/>
          <w:sz w:val="22"/>
          <w:szCs w:val="22"/>
          <w:rtl w:val="0"/>
          <w:lang w:val="en-US"/>
        </w:rPr>
        <w:t xml:space="preserve">The inventory days are 43.74 and </w:t>
      </w:r>
      <w:r>
        <w:rPr>
          <w:rFonts w:hint="default" w:ascii="Arial" w:hAnsi="Arial" w:cs="Arial"/>
          <w:b w:val="0"/>
          <w:bCs w:val="0"/>
          <w:color w:val="000000"/>
          <w:sz w:val="22"/>
          <w:szCs w:val="22"/>
          <w:rtl w:val="0"/>
          <w:lang w:val="en-US"/>
        </w:rPr>
        <w:t>43.48  respectively for 2021 and 2022. This means that Amazon</w:t>
      </w:r>
      <w:r>
        <w:rPr>
          <w:rFonts w:hint="default" w:ascii="Arial" w:hAnsi="Arial" w:cs="Arial"/>
          <w:b w:val="0"/>
          <w:bCs w:val="0"/>
          <w:color w:val="000000"/>
          <w:sz w:val="22"/>
          <w:szCs w:val="22"/>
          <w:rtl w:val="0"/>
          <w:lang w:val="en-US"/>
        </w:rPr>
        <w:t xml:space="preserve"> takes an average of 43.74 days to sell its inventory in 2021 and 43.48 days the following year.</w:t>
      </w:r>
    </w:p>
    <w:p>
      <w:pPr>
        <w:numPr>
          <w:numId w:val="0"/>
        </w:numPr>
        <w:rPr>
          <w:rFonts w:hint="default" w:ascii="Arial" w:hAnsi="Arial" w:cs="Arial"/>
          <w:b w:val="0"/>
          <w:bCs w:val="0"/>
          <w:color w:val="000000"/>
          <w:sz w:val="22"/>
          <w:szCs w:val="22"/>
          <w:rtl w:val="0"/>
          <w:lang w:val="en-US"/>
        </w:rPr>
      </w:pPr>
    </w:p>
    <w:p>
      <w:pPr>
        <w:numPr>
          <w:ilvl w:val="0"/>
          <w:numId w:val="1"/>
        </w:numPr>
        <w:rPr>
          <w:rFonts w:hint="default" w:ascii="Arial" w:hAnsi="Arial" w:cs="Arial"/>
          <w:b w:val="0"/>
          <w:bCs w:val="0"/>
          <w:color w:val="000000"/>
          <w:sz w:val="22"/>
          <w:szCs w:val="22"/>
          <w:rtl w:val="0"/>
          <w:lang w:val="en-US"/>
        </w:rPr>
      </w:pPr>
      <w:r>
        <w:rPr>
          <w:rFonts w:hint="default" w:ascii="Arial" w:hAnsi="Arial" w:cs="Arial"/>
          <w:b w:val="0"/>
          <w:bCs w:val="0"/>
          <w:color w:val="000000"/>
          <w:sz w:val="22"/>
          <w:szCs w:val="22"/>
          <w:rtl w:val="0"/>
          <w:lang w:val="en-US"/>
        </w:rPr>
        <w:t xml:space="preserve">Payable Days </w:t>
      </w:r>
    </w:p>
    <w:p>
      <w:pPr>
        <w:numPr>
          <w:numId w:val="0"/>
        </w:numPr>
        <w:rPr>
          <w:rFonts w:hint="default" w:ascii="Arial" w:hAnsi="Arial" w:cs="Arial"/>
          <w:b w:val="0"/>
          <w:bCs w:val="0"/>
          <w:color w:val="000000"/>
          <w:sz w:val="22"/>
          <w:szCs w:val="22"/>
          <w:rtl w:val="0"/>
          <w:lang w:val="en-US"/>
        </w:rPr>
      </w:pPr>
      <w:r>
        <w:rPr>
          <w:rFonts w:hint="default" w:ascii="Arial" w:hAnsi="Arial" w:cs="Arial"/>
          <w:b w:val="0"/>
          <w:bCs w:val="0"/>
          <w:color w:val="000000"/>
          <w:sz w:val="22"/>
          <w:szCs w:val="22"/>
          <w:rtl w:val="0"/>
          <w:lang w:val="en-US"/>
        </w:rPr>
        <w:t xml:space="preserve">From the calculations in excel, Amazon takes an average of 105.43 days to pay its suppliers in 2021 and </w:t>
      </w:r>
      <w:r>
        <w:rPr>
          <w:rFonts w:hint="default" w:ascii="Arial" w:hAnsi="Arial" w:cs="Arial"/>
          <w:b w:val="0"/>
          <w:bCs w:val="0"/>
          <w:color w:val="000000"/>
          <w:sz w:val="22"/>
          <w:szCs w:val="22"/>
          <w:rtl w:val="0"/>
          <w:lang w:val="en-US"/>
        </w:rPr>
        <w:t>100.59 days in 2022.</w:t>
      </w:r>
    </w:p>
    <w:p>
      <w:pPr>
        <w:numPr>
          <w:numId w:val="0"/>
        </w:numPr>
        <w:rPr>
          <w:rFonts w:hint="default" w:ascii="Arial" w:hAnsi="Arial" w:cs="Arial"/>
          <w:b w:val="0"/>
          <w:bCs w:val="0"/>
          <w:color w:val="000000"/>
          <w:sz w:val="22"/>
          <w:szCs w:val="22"/>
          <w:rtl w:val="0"/>
          <w:lang w:val="en-US"/>
        </w:rPr>
      </w:pPr>
    </w:p>
    <w:p>
      <w:pPr>
        <w:numPr>
          <w:ilvl w:val="0"/>
          <w:numId w:val="1"/>
        </w:numPr>
        <w:rPr>
          <w:rFonts w:hint="default" w:ascii="Arial" w:hAnsi="Arial" w:cs="Arial"/>
          <w:b w:val="0"/>
          <w:bCs w:val="0"/>
          <w:color w:val="000000"/>
          <w:sz w:val="22"/>
          <w:szCs w:val="22"/>
          <w:rtl w:val="0"/>
          <w:lang w:val="en-US"/>
        </w:rPr>
      </w:pPr>
      <w:r>
        <w:rPr>
          <w:rFonts w:hint="default" w:ascii="Arial" w:hAnsi="Arial" w:cs="Arial"/>
          <w:b w:val="0"/>
          <w:bCs w:val="0"/>
          <w:color w:val="000000"/>
          <w:sz w:val="22"/>
          <w:szCs w:val="22"/>
          <w:rtl w:val="0"/>
          <w:lang w:val="en-US"/>
        </w:rPr>
        <w:t>Receivable Days</w:t>
      </w:r>
    </w:p>
    <w:p>
      <w:pPr>
        <w:numPr>
          <w:numId w:val="0"/>
        </w:numPr>
        <w:rPr>
          <w:rFonts w:hint="default" w:ascii="Arial" w:hAnsi="Arial" w:cs="Arial"/>
          <w:b w:val="0"/>
          <w:bCs w:val="0"/>
          <w:color w:val="000000"/>
          <w:sz w:val="22"/>
          <w:szCs w:val="22"/>
          <w:rtl w:val="0"/>
          <w:lang w:val="en-US"/>
        </w:rPr>
      </w:pPr>
      <w:r>
        <w:rPr>
          <w:rFonts w:hint="default" w:ascii="Arial" w:hAnsi="Arial" w:cs="Arial"/>
          <w:b w:val="0"/>
          <w:bCs w:val="0"/>
          <w:color w:val="000000"/>
          <w:sz w:val="22"/>
          <w:szCs w:val="22"/>
          <w:rtl w:val="0"/>
          <w:lang w:val="en-US"/>
        </w:rPr>
        <w:t xml:space="preserve"> The calculations shows that the company takes an average of 25.55 days to collect customer in 2021 and </w:t>
      </w:r>
      <w:r>
        <w:rPr>
          <w:rFonts w:hint="default" w:ascii="Arial" w:hAnsi="Arial" w:cs="Arial"/>
          <w:b w:val="0"/>
          <w:bCs w:val="0"/>
          <w:color w:val="000000"/>
          <w:sz w:val="22"/>
          <w:szCs w:val="22"/>
          <w:rtl w:val="0"/>
          <w:lang w:val="en-US"/>
        </w:rPr>
        <w:t>30.08 days in 2022.</w:t>
      </w:r>
    </w:p>
    <w:p>
      <w:pPr>
        <w:numPr>
          <w:numId w:val="0"/>
        </w:numPr>
        <w:rPr>
          <w:rFonts w:hint="default" w:ascii="Arial" w:hAnsi="Arial" w:cs="Arial"/>
          <w:b w:val="0"/>
          <w:bCs w:val="0"/>
          <w:color w:val="000000"/>
          <w:sz w:val="22"/>
          <w:szCs w:val="22"/>
          <w:rtl w:val="0"/>
          <w:lang w:val="en-US"/>
        </w:rPr>
      </w:pPr>
    </w:p>
    <w:p>
      <w:pPr>
        <w:numPr>
          <w:ilvl w:val="0"/>
          <w:numId w:val="1"/>
        </w:numPr>
        <w:rPr>
          <w:rFonts w:hint="default" w:ascii="Arial" w:hAnsi="Arial" w:cs="Arial"/>
          <w:b w:val="0"/>
          <w:bCs w:val="0"/>
          <w:color w:val="000000"/>
          <w:sz w:val="22"/>
          <w:szCs w:val="22"/>
          <w:rtl w:val="0"/>
          <w:lang w:val="en-US"/>
        </w:rPr>
      </w:pPr>
      <w:r>
        <w:rPr>
          <w:rFonts w:hint="default" w:ascii="Arial" w:hAnsi="Arial" w:cs="Arial"/>
          <w:b w:val="0"/>
          <w:bCs w:val="0"/>
          <w:color w:val="000000"/>
          <w:sz w:val="22"/>
          <w:szCs w:val="22"/>
          <w:rtl w:val="0"/>
          <w:lang w:val="en-US"/>
        </w:rPr>
        <w:t xml:space="preserve">Net trading cycle </w:t>
      </w:r>
    </w:p>
    <w:p>
      <w:pPr>
        <w:numPr>
          <w:numId w:val="0"/>
        </w:numPr>
        <w:rPr>
          <w:rFonts w:hint="default" w:ascii="Arial" w:hAnsi="Arial" w:cs="Arial"/>
          <w:b w:val="0"/>
          <w:bCs w:val="0"/>
          <w:color w:val="000000"/>
          <w:sz w:val="22"/>
          <w:szCs w:val="22"/>
          <w:rtl w:val="0"/>
          <w:lang w:val="en-US"/>
        </w:rPr>
      </w:pPr>
    </w:p>
    <w:p>
      <w:pPr>
        <w:numPr>
          <w:numId w:val="0"/>
        </w:numPr>
        <w:rPr>
          <w:rFonts w:hint="default" w:ascii="Arial" w:hAnsi="Arial" w:cs="Arial"/>
          <w:b w:val="0"/>
          <w:bCs w:val="0"/>
          <w:color w:val="000000"/>
          <w:sz w:val="22"/>
          <w:szCs w:val="22"/>
          <w:rtl w:val="0"/>
          <w:lang w:val="en-US"/>
        </w:rPr>
      </w:pPr>
      <w:r>
        <w:rPr>
          <w:rFonts w:hint="default" w:ascii="Arial" w:hAnsi="Arial" w:cs="Arial"/>
          <w:b w:val="0"/>
          <w:bCs w:val="0"/>
          <w:color w:val="000000"/>
          <w:sz w:val="22"/>
          <w:szCs w:val="22"/>
          <w:rtl w:val="0"/>
          <w:lang w:val="en-US"/>
        </w:rPr>
        <w:t xml:space="preserve">The ratio are -36.13 and </w:t>
      </w:r>
      <w:r>
        <w:rPr>
          <w:rFonts w:hint="default" w:ascii="Arial" w:hAnsi="Arial" w:cs="Arial"/>
          <w:b w:val="0"/>
          <w:bCs w:val="0"/>
          <w:color w:val="000000"/>
          <w:sz w:val="22"/>
          <w:szCs w:val="22"/>
          <w:rtl w:val="0"/>
          <w:lang w:val="en-US"/>
        </w:rPr>
        <w:t xml:space="preserve"> -27.03 respectively for 2021 and 2022. The</w:t>
      </w:r>
      <w:r>
        <w:rPr>
          <w:rFonts w:hint="default" w:ascii="Arial" w:hAnsi="Arial" w:cs="Arial"/>
          <w:b w:val="0"/>
          <w:bCs w:val="0"/>
          <w:color w:val="000000"/>
          <w:sz w:val="22"/>
          <w:szCs w:val="22"/>
          <w:rtl w:val="0"/>
          <w:lang w:val="en-US"/>
        </w:rPr>
        <w:t xml:space="preserve"> negative net trading cycle can be a sign of strong financial health and efficiency because the company is able to sell its inventory very quickly after purchasing it, reducing storage costs and minimizing the risk of unsold or outdated inventory.</w:t>
      </w:r>
    </w:p>
    <w:p>
      <w:pPr>
        <w:numPr>
          <w:numId w:val="0"/>
        </w:numPr>
        <w:rPr>
          <w:rFonts w:hint="default" w:ascii="Arial" w:hAnsi="Arial" w:cs="Arial"/>
          <w:b w:val="0"/>
          <w:bCs w:val="0"/>
          <w:color w:val="000000"/>
          <w:sz w:val="22"/>
          <w:szCs w:val="22"/>
          <w:rtl w:val="0"/>
          <w:lang w:val="en-US"/>
        </w:rPr>
      </w:pPr>
    </w:p>
    <w:p>
      <w:pPr>
        <w:numPr>
          <w:ilvl w:val="0"/>
          <w:numId w:val="1"/>
        </w:numPr>
        <w:rPr>
          <w:rFonts w:hint="default" w:ascii="Arial" w:hAnsi="Arial" w:cs="Arial"/>
          <w:b w:val="0"/>
          <w:bCs w:val="0"/>
          <w:color w:val="000000"/>
          <w:sz w:val="22"/>
          <w:szCs w:val="22"/>
          <w:rtl w:val="0"/>
          <w:lang w:val="en-US"/>
        </w:rPr>
      </w:pPr>
      <w:r>
        <w:rPr>
          <w:rFonts w:hint="default" w:ascii="Arial" w:hAnsi="Arial" w:cs="Arial"/>
          <w:b w:val="0"/>
          <w:bCs w:val="0"/>
          <w:color w:val="000000"/>
          <w:sz w:val="22"/>
          <w:szCs w:val="22"/>
          <w:rtl w:val="0"/>
          <w:lang w:val="en-US"/>
        </w:rPr>
        <w:t>Working Capital as a % of Sales</w:t>
      </w:r>
    </w:p>
    <w:p>
      <w:pPr>
        <w:numPr>
          <w:numId w:val="0"/>
        </w:numPr>
        <w:rPr>
          <w:rFonts w:hint="default" w:ascii="Arial" w:hAnsi="Arial" w:cs="Arial"/>
          <w:b w:val="0"/>
          <w:bCs w:val="0"/>
          <w:color w:val="000000"/>
          <w:sz w:val="22"/>
          <w:szCs w:val="22"/>
          <w:rtl w:val="0"/>
          <w:lang w:val="en-US"/>
        </w:rPr>
      </w:pPr>
      <w:r>
        <w:rPr>
          <w:rFonts w:hint="default" w:ascii="Arial" w:hAnsi="Arial" w:cs="Arial"/>
          <w:b w:val="0"/>
          <w:bCs w:val="0"/>
          <w:color w:val="000000"/>
          <w:sz w:val="22"/>
          <w:szCs w:val="22"/>
          <w:rtl w:val="0"/>
          <w:lang w:val="en-US"/>
        </w:rPr>
        <w:t xml:space="preserve">The ratios are 4% and </w:t>
      </w:r>
      <w:r>
        <w:rPr>
          <w:rFonts w:hint="default" w:ascii="Arial" w:hAnsi="Arial" w:cs="Arial"/>
          <w:b w:val="0"/>
          <w:bCs w:val="0"/>
          <w:color w:val="000000"/>
          <w:sz w:val="22"/>
          <w:szCs w:val="22"/>
          <w:rtl w:val="0"/>
          <w:lang w:val="en-US"/>
        </w:rPr>
        <w:t>-2% respectively. It means that for every dollar sales, 4% goes to working capital in 2021. However, -2% realized in 2022 may be an indication of over reliance on short-term financing or challenges with inventory management or receivables collection.</w:t>
      </w:r>
    </w:p>
    <w:p>
      <w:pPr>
        <w:numPr>
          <w:numId w:val="0"/>
        </w:numPr>
        <w:rPr>
          <w:rFonts w:hint="default" w:ascii="Arial" w:hAnsi="Arial" w:cs="Arial"/>
          <w:b w:val="0"/>
          <w:bCs w:val="0"/>
          <w:color w:val="000000"/>
          <w:sz w:val="22"/>
          <w:szCs w:val="22"/>
          <w:rtl w:val="0"/>
          <w:lang w:val="en-US"/>
        </w:rPr>
      </w:pPr>
    </w:p>
    <w:p>
      <w:pPr>
        <w:numPr>
          <w:numId w:val="0"/>
        </w:numPr>
        <w:rPr>
          <w:rFonts w:hint="default" w:ascii="Arial" w:hAnsi="Arial" w:cs="Arial"/>
          <w:b/>
          <w:bCs/>
          <w:color w:val="000000"/>
          <w:sz w:val="22"/>
          <w:szCs w:val="22"/>
          <w:rtl w:val="0"/>
          <w:lang w:val="en-US"/>
        </w:rPr>
      </w:pPr>
      <w:r>
        <w:rPr>
          <w:rFonts w:hint="default" w:ascii="Arial" w:hAnsi="Arial" w:cs="Arial"/>
          <w:b/>
          <w:bCs/>
          <w:color w:val="000000"/>
          <w:sz w:val="22"/>
          <w:szCs w:val="22"/>
          <w:rtl w:val="0"/>
          <w:lang w:val="en-US"/>
        </w:rPr>
        <w:t>Profitability Ratios</w:t>
      </w:r>
    </w:p>
    <w:p>
      <w:pPr>
        <w:numPr>
          <w:numId w:val="0"/>
        </w:numPr>
        <w:rPr>
          <w:rFonts w:hint="default" w:ascii="Arial" w:hAnsi="Arial" w:cs="Arial"/>
          <w:b w:val="0"/>
          <w:bCs w:val="0"/>
          <w:color w:val="000000"/>
          <w:sz w:val="22"/>
          <w:szCs w:val="22"/>
          <w:rtl w:val="0"/>
          <w:lang w:val="en-US"/>
        </w:rPr>
      </w:pPr>
    </w:p>
    <w:p>
      <w:pPr>
        <w:numPr>
          <w:ilvl w:val="0"/>
          <w:numId w:val="2"/>
        </w:numPr>
        <w:rPr>
          <w:rFonts w:hint="default" w:ascii="Arial" w:hAnsi="Arial" w:cs="Arial"/>
          <w:b w:val="0"/>
          <w:bCs w:val="0"/>
          <w:color w:val="000000"/>
          <w:sz w:val="22"/>
          <w:szCs w:val="22"/>
          <w:rtl w:val="0"/>
          <w:lang w:val="en-US"/>
        </w:rPr>
      </w:pPr>
      <w:r>
        <w:rPr>
          <w:rFonts w:hint="default" w:ascii="Arial" w:hAnsi="Arial" w:cs="Arial"/>
          <w:b w:val="0"/>
          <w:bCs w:val="0"/>
          <w:color w:val="000000"/>
          <w:sz w:val="22"/>
          <w:szCs w:val="22"/>
          <w:rtl w:val="0"/>
          <w:lang w:val="en-US"/>
        </w:rPr>
        <w:t xml:space="preserve">Gross Margin: the company's gross margin is </w:t>
      </w:r>
      <w:r>
        <w:rPr>
          <w:rFonts w:hint="default" w:ascii="Arial" w:hAnsi="Arial" w:cs="Arial"/>
          <w:b w:val="0"/>
          <w:bCs w:val="0"/>
          <w:color w:val="000000"/>
          <w:sz w:val="22"/>
          <w:szCs w:val="22"/>
          <w:rtl w:val="0"/>
          <w:lang w:val="en-US"/>
        </w:rPr>
        <w:tab/>
      </w:r>
      <w:r>
        <w:rPr>
          <w:rFonts w:hint="default" w:ascii="Arial" w:hAnsi="Arial" w:cs="Arial"/>
          <w:b w:val="0"/>
          <w:bCs w:val="0"/>
          <w:color w:val="000000"/>
          <w:sz w:val="22"/>
          <w:szCs w:val="22"/>
          <w:rtl w:val="0"/>
          <w:lang w:val="en-US"/>
        </w:rPr>
        <w:t>42% and 44% for 2021 and 2022, meaning that for every dollar of revenue generated, the company retains $0.42 and $0.44 after covering the cost of goods sold for 2021 ad 2022 respectively.</w:t>
      </w:r>
    </w:p>
    <w:p>
      <w:pPr>
        <w:numPr>
          <w:ilvl w:val="0"/>
          <w:numId w:val="2"/>
        </w:numPr>
        <w:rPr>
          <w:rFonts w:hint="default" w:ascii="Arial" w:hAnsi="Arial" w:cs="Arial"/>
          <w:b w:val="0"/>
          <w:bCs w:val="0"/>
          <w:color w:val="000000"/>
          <w:sz w:val="22"/>
          <w:szCs w:val="22"/>
          <w:rtl w:val="0"/>
          <w:lang w:val="en-US"/>
        </w:rPr>
      </w:pPr>
      <w:r>
        <w:rPr>
          <w:rFonts w:hint="default" w:ascii="Arial" w:hAnsi="Arial" w:cs="Arial"/>
          <w:b w:val="0"/>
          <w:bCs w:val="0"/>
          <w:color w:val="000000"/>
          <w:sz w:val="22"/>
          <w:szCs w:val="22"/>
          <w:rtl w:val="0"/>
          <w:lang w:val="en-US"/>
        </w:rPr>
        <w:t>EBITDA Margin</w:t>
      </w:r>
    </w:p>
    <w:p>
      <w:pPr>
        <w:numPr>
          <w:numId w:val="0"/>
        </w:numPr>
        <w:rPr>
          <w:rFonts w:hint="default" w:ascii="Arial" w:hAnsi="Arial" w:cs="Arial"/>
          <w:b w:val="0"/>
          <w:bCs w:val="0"/>
          <w:color w:val="000000"/>
          <w:sz w:val="22"/>
          <w:szCs w:val="22"/>
          <w:rtl w:val="0"/>
          <w:lang w:val="en-US"/>
        </w:rPr>
      </w:pPr>
      <w:r>
        <w:rPr>
          <w:rFonts w:hint="default" w:ascii="Arial" w:hAnsi="Arial" w:cs="Arial"/>
          <w:b w:val="0"/>
          <w:bCs w:val="0"/>
          <w:color w:val="000000"/>
          <w:sz w:val="22"/>
          <w:szCs w:val="22"/>
          <w:rtl w:val="0"/>
          <w:lang w:val="en-US"/>
        </w:rPr>
        <w:t>The company's EBITDA margin are 13% and 11%, implying that about 13 cents of every dollar of revenue is retained as EBITDA after deducting operating expenses for 2021 and 11 cents for the following year.</w:t>
      </w:r>
    </w:p>
    <w:p>
      <w:pPr>
        <w:numPr>
          <w:ilvl w:val="0"/>
          <w:numId w:val="2"/>
        </w:numPr>
        <w:ind w:left="0" w:leftChars="0" w:firstLine="0" w:firstLineChars="0"/>
        <w:rPr>
          <w:rFonts w:hint="default" w:ascii="Arial" w:hAnsi="Arial" w:cs="Arial"/>
          <w:b w:val="0"/>
          <w:bCs w:val="0"/>
          <w:color w:val="000000"/>
          <w:sz w:val="22"/>
          <w:szCs w:val="22"/>
          <w:rtl w:val="0"/>
          <w:lang w:val="en-US"/>
        </w:rPr>
      </w:pPr>
      <w:r>
        <w:rPr>
          <w:rFonts w:hint="default" w:ascii="Arial" w:hAnsi="Arial" w:cs="Arial"/>
          <w:b w:val="0"/>
          <w:bCs w:val="0"/>
          <w:color w:val="000000"/>
          <w:sz w:val="22"/>
          <w:szCs w:val="22"/>
          <w:rtl w:val="0"/>
          <w:lang w:val="en-US"/>
        </w:rPr>
        <w:t>Net Margin:</w:t>
      </w:r>
      <w:r>
        <w:rPr>
          <w:rFonts w:hint="default" w:ascii="Arial" w:hAnsi="Arial" w:cs="Arial"/>
          <w:b w:val="0"/>
          <w:bCs w:val="0"/>
          <w:color w:val="000000"/>
          <w:sz w:val="22"/>
          <w:szCs w:val="22"/>
          <w:rtl w:val="0"/>
          <w:lang w:val="en-US"/>
        </w:rPr>
        <w:br w:type="textWrapping"/>
      </w:r>
      <w:r>
        <w:rPr>
          <w:rFonts w:hint="default" w:ascii="Arial" w:hAnsi="Arial" w:cs="Arial"/>
          <w:b w:val="0"/>
          <w:bCs w:val="0"/>
          <w:color w:val="000000"/>
          <w:sz w:val="22"/>
          <w:szCs w:val="22"/>
          <w:rtl w:val="0"/>
          <w:lang w:val="en-US"/>
        </w:rPr>
        <w:t xml:space="preserve"> the company's net margin shows 7% and -1%  respectively for 2021 and 2022. The negative net margin of -1% indicates that for every dollar of revenue, the company incurred a loss of 1 cents in 2022. The positive value in 2021 suggests that 7 cents of every dollar of revenue is retained as net income after deducting all expenses.</w:t>
      </w:r>
    </w:p>
    <w:p>
      <w:pPr>
        <w:numPr>
          <w:numId w:val="0"/>
        </w:numPr>
        <w:rPr>
          <w:rFonts w:hint="default" w:ascii="Arial" w:hAnsi="Arial" w:cs="Arial"/>
          <w:b w:val="0"/>
          <w:bCs w:val="0"/>
          <w:color w:val="000000"/>
          <w:sz w:val="22"/>
          <w:szCs w:val="22"/>
          <w:rtl w:val="0"/>
          <w:lang w:val="en-US"/>
        </w:rPr>
      </w:pPr>
    </w:p>
    <w:p>
      <w:pPr>
        <w:numPr>
          <w:numId w:val="0"/>
        </w:numPr>
        <w:rPr>
          <w:rFonts w:hint="default" w:ascii="Arial" w:hAnsi="Arial" w:cs="Arial"/>
          <w:b/>
          <w:bCs/>
          <w:color w:val="000000"/>
          <w:sz w:val="22"/>
          <w:szCs w:val="22"/>
          <w:rtl w:val="0"/>
          <w:lang w:val="en-US"/>
        </w:rPr>
      </w:pPr>
      <w:r>
        <w:rPr>
          <w:rFonts w:hint="default" w:ascii="Arial" w:hAnsi="Arial" w:cs="Arial"/>
          <w:b/>
          <w:bCs/>
          <w:color w:val="000000"/>
          <w:sz w:val="22"/>
          <w:szCs w:val="22"/>
          <w:rtl w:val="0"/>
          <w:lang w:val="en-US"/>
        </w:rPr>
        <w:t>Solvency/ debt management</w:t>
      </w:r>
    </w:p>
    <w:p>
      <w:pPr>
        <w:numPr>
          <w:numId w:val="0"/>
        </w:numPr>
        <w:rPr>
          <w:rFonts w:hint="default" w:ascii="Arial" w:hAnsi="Arial" w:cs="Arial"/>
          <w:b w:val="0"/>
          <w:bCs w:val="0"/>
          <w:color w:val="000000"/>
          <w:sz w:val="22"/>
          <w:szCs w:val="22"/>
          <w:rtl w:val="0"/>
          <w:lang w:val="en-US"/>
        </w:rPr>
      </w:pPr>
    </w:p>
    <w:p>
      <w:pPr>
        <w:numPr>
          <w:ilvl w:val="0"/>
          <w:numId w:val="3"/>
        </w:numPr>
        <w:rPr>
          <w:rFonts w:hint="default" w:ascii="Arial" w:hAnsi="Arial" w:cs="Arial"/>
          <w:b w:val="0"/>
          <w:bCs w:val="0"/>
          <w:color w:val="000000"/>
          <w:sz w:val="22"/>
          <w:szCs w:val="22"/>
          <w:rtl w:val="0"/>
          <w:lang w:val="en-US"/>
        </w:rPr>
      </w:pPr>
      <w:r>
        <w:rPr>
          <w:rFonts w:hint="default" w:ascii="Arial" w:hAnsi="Arial" w:cs="Arial"/>
          <w:b w:val="0"/>
          <w:bCs w:val="0"/>
          <w:color w:val="000000"/>
          <w:sz w:val="22"/>
          <w:szCs w:val="22"/>
          <w:rtl w:val="0"/>
          <w:lang w:val="en-US"/>
        </w:rPr>
        <w:t>Debt to Equity ratio:</w:t>
      </w:r>
      <w:r>
        <w:rPr>
          <w:rFonts w:hint="default" w:ascii="Arial" w:hAnsi="Arial" w:cs="Arial"/>
          <w:b w:val="0"/>
          <w:bCs w:val="0"/>
          <w:color w:val="000000"/>
          <w:sz w:val="22"/>
          <w:szCs w:val="22"/>
          <w:rtl w:val="0"/>
          <w:lang w:val="en-US"/>
        </w:rPr>
        <w:br w:type="textWrapping"/>
      </w:r>
      <w:r>
        <w:rPr>
          <w:rFonts w:hint="default" w:ascii="Arial" w:hAnsi="Arial" w:cs="Arial"/>
          <w:b w:val="0"/>
          <w:bCs w:val="0"/>
          <w:color w:val="000000"/>
          <w:sz w:val="22"/>
          <w:szCs w:val="22"/>
          <w:rtl w:val="0"/>
          <w:lang w:val="en-US"/>
        </w:rPr>
        <w:t>From the calculations, the company's debt is doubled her asset as shown by the value of 2.04 and 2.17 for both years which are greater than one implying that  it has more debt financing than equity financing, which may further suggest higher financial risk due to increased debt obligations.</w:t>
      </w:r>
    </w:p>
    <w:p>
      <w:pPr>
        <w:numPr>
          <w:ilvl w:val="0"/>
          <w:numId w:val="3"/>
        </w:numPr>
        <w:rPr>
          <w:rFonts w:hint="default" w:ascii="Arial" w:hAnsi="Arial" w:cs="Arial"/>
          <w:b w:val="0"/>
          <w:bCs w:val="0"/>
          <w:color w:val="000000"/>
          <w:sz w:val="22"/>
          <w:szCs w:val="22"/>
          <w:rtl w:val="0"/>
          <w:lang w:val="en-US"/>
        </w:rPr>
      </w:pPr>
      <w:r>
        <w:rPr>
          <w:rFonts w:hint="default" w:ascii="Arial" w:hAnsi="Arial" w:cs="Arial"/>
          <w:b w:val="0"/>
          <w:bCs w:val="0"/>
          <w:color w:val="000000"/>
          <w:sz w:val="22"/>
          <w:szCs w:val="22"/>
          <w:rtl w:val="0"/>
          <w:lang w:val="en-US"/>
        </w:rPr>
        <w:t>Debt Coverage:  The debt coverage of 0.09 and 0.04 suggests that Amazon may have difficulty meeting its debt obligations from its operating income alone.</w:t>
      </w:r>
    </w:p>
    <w:p>
      <w:pPr>
        <w:numPr>
          <w:ilvl w:val="0"/>
          <w:numId w:val="3"/>
        </w:numPr>
        <w:rPr>
          <w:rFonts w:hint="default" w:ascii="Arial" w:hAnsi="Arial" w:cs="Arial"/>
          <w:b w:val="0"/>
          <w:bCs w:val="0"/>
          <w:color w:val="000000"/>
          <w:sz w:val="22"/>
          <w:szCs w:val="22"/>
          <w:rtl w:val="0"/>
          <w:lang w:val="en-US"/>
        </w:rPr>
      </w:pPr>
      <w:r>
        <w:rPr>
          <w:rFonts w:hint="default" w:ascii="Arial" w:hAnsi="Arial" w:cs="Arial"/>
          <w:b w:val="0"/>
          <w:bCs w:val="0"/>
          <w:color w:val="000000"/>
          <w:sz w:val="22"/>
          <w:szCs w:val="22"/>
          <w:rtl w:val="0"/>
          <w:lang w:val="en-US"/>
        </w:rPr>
        <w:t>Free cash flow to equity (FCFE) per share</w:t>
      </w:r>
    </w:p>
    <w:p>
      <w:pPr>
        <w:numPr>
          <w:numId w:val="0"/>
        </w:numPr>
        <w:rPr>
          <w:rFonts w:hint="default" w:ascii="Arial" w:hAnsi="Arial" w:cs="Arial"/>
          <w:b w:val="0"/>
          <w:bCs w:val="0"/>
          <w:color w:val="000000"/>
          <w:sz w:val="22"/>
          <w:szCs w:val="22"/>
          <w:rtl w:val="0"/>
          <w:lang w:val="en-US"/>
        </w:rPr>
      </w:pPr>
      <w:r>
        <w:rPr>
          <w:rFonts w:hint="default" w:ascii="Arial" w:hAnsi="Arial" w:cs="Arial"/>
          <w:b w:val="0"/>
          <w:bCs w:val="0"/>
          <w:color w:val="000000"/>
          <w:sz w:val="22"/>
          <w:szCs w:val="22"/>
          <w:rtl w:val="0"/>
          <w:lang w:val="en-US"/>
        </w:rPr>
        <w:t>The amount of cash flow each share of the company is entitled is $25598.28 for year 2022.</w:t>
      </w:r>
    </w:p>
    <w:p>
      <w:pPr>
        <w:numPr>
          <w:numId w:val="0"/>
        </w:numPr>
        <w:rPr>
          <w:rFonts w:hint="default" w:ascii="Arial" w:hAnsi="Arial" w:cs="Arial"/>
          <w:b w:val="0"/>
          <w:bCs w:val="0"/>
          <w:color w:val="000000"/>
          <w:sz w:val="22"/>
          <w:szCs w:val="22"/>
          <w:rtl w:val="0"/>
          <w:lang w:val="en-US"/>
        </w:rPr>
      </w:pPr>
    </w:p>
    <w:p>
      <w:pPr>
        <w:numPr>
          <w:numId w:val="0"/>
        </w:numPr>
        <w:rPr>
          <w:rFonts w:hint="default" w:ascii="Arial" w:hAnsi="Arial" w:cs="Arial"/>
          <w:b/>
          <w:bCs/>
          <w:color w:val="000000"/>
          <w:sz w:val="22"/>
          <w:szCs w:val="22"/>
          <w:rtl w:val="0"/>
          <w:lang w:val="en-US"/>
        </w:rPr>
      </w:pPr>
      <w:r>
        <w:rPr>
          <w:rFonts w:hint="default" w:ascii="Arial" w:hAnsi="Arial" w:cs="Arial"/>
          <w:b/>
          <w:bCs/>
          <w:color w:val="000000"/>
          <w:sz w:val="22"/>
          <w:szCs w:val="22"/>
          <w:rtl w:val="0"/>
          <w:lang w:val="en-US"/>
        </w:rPr>
        <w:t>Asset Utilization ratios</w:t>
      </w:r>
    </w:p>
    <w:p>
      <w:pPr>
        <w:numPr>
          <w:ilvl w:val="0"/>
          <w:numId w:val="4"/>
        </w:numPr>
        <w:rPr>
          <w:rFonts w:hint="default" w:ascii="Arial" w:hAnsi="Arial" w:cs="Arial"/>
          <w:b w:val="0"/>
          <w:bCs w:val="0"/>
          <w:color w:val="000000"/>
          <w:sz w:val="22"/>
          <w:szCs w:val="22"/>
          <w:rtl w:val="0"/>
          <w:lang w:val="en-US"/>
        </w:rPr>
      </w:pPr>
      <w:r>
        <w:rPr>
          <w:rFonts w:hint="default" w:ascii="Arial" w:hAnsi="Arial" w:cs="Arial"/>
          <w:b w:val="0"/>
          <w:bCs w:val="0"/>
          <w:color w:val="000000"/>
          <w:sz w:val="22"/>
          <w:szCs w:val="22"/>
          <w:rtl w:val="0"/>
          <w:lang w:val="en-US"/>
        </w:rPr>
        <w:t>Asset Turnover</w:t>
      </w:r>
    </w:p>
    <w:p>
      <w:pPr>
        <w:numPr>
          <w:numId w:val="0"/>
        </w:numPr>
        <w:rPr>
          <w:rFonts w:hint="default" w:ascii="Arial" w:hAnsi="Arial" w:cs="Arial"/>
          <w:b w:val="0"/>
          <w:bCs w:val="0"/>
          <w:color w:val="000000"/>
          <w:sz w:val="22"/>
          <w:szCs w:val="22"/>
          <w:rtl w:val="0"/>
          <w:lang w:val="en-US"/>
        </w:rPr>
      </w:pPr>
      <w:r>
        <w:rPr>
          <w:rFonts w:hint="default" w:ascii="Arial" w:hAnsi="Arial" w:cs="Arial"/>
          <w:b w:val="0"/>
          <w:bCs w:val="0"/>
          <w:color w:val="000000"/>
          <w:sz w:val="22"/>
          <w:szCs w:val="22"/>
          <w:rtl w:val="0"/>
          <w:lang w:val="en-US"/>
        </w:rPr>
        <w:t>For a dollar worth of asset employed by Amazon, it generate 1.11 and 1.12  for year 2022 and 2021 respectively. A declining asset turnover ratio as shown above may indicate declining sales efficiency or over-investment in assets.</w:t>
      </w:r>
    </w:p>
    <w:p>
      <w:pPr>
        <w:numPr>
          <w:ilvl w:val="0"/>
          <w:numId w:val="4"/>
        </w:numPr>
        <w:ind w:left="0" w:leftChars="0" w:firstLine="0" w:firstLineChars="0"/>
        <w:rPr>
          <w:rFonts w:hint="default" w:ascii="Arial" w:hAnsi="Arial" w:cs="Arial"/>
          <w:b w:val="0"/>
          <w:bCs w:val="0"/>
          <w:color w:val="000000"/>
          <w:sz w:val="22"/>
          <w:szCs w:val="22"/>
          <w:rtl w:val="0"/>
          <w:lang w:val="en-US"/>
        </w:rPr>
      </w:pPr>
      <w:r>
        <w:rPr>
          <w:rFonts w:hint="default" w:ascii="Arial" w:hAnsi="Arial" w:cs="Arial"/>
          <w:b w:val="0"/>
          <w:bCs w:val="0"/>
          <w:color w:val="000000"/>
          <w:sz w:val="22"/>
          <w:szCs w:val="22"/>
          <w:rtl w:val="0"/>
          <w:lang w:val="en-US"/>
        </w:rPr>
        <w:t>Inventory turnover</w:t>
      </w:r>
    </w:p>
    <w:p>
      <w:pPr>
        <w:numPr>
          <w:numId w:val="0"/>
        </w:numPr>
        <w:ind w:leftChars="0"/>
        <w:rPr>
          <w:rFonts w:hint="default" w:ascii="Arial" w:hAnsi="Arial" w:cs="Arial"/>
          <w:b w:val="0"/>
          <w:bCs w:val="0"/>
          <w:color w:val="000000"/>
          <w:sz w:val="22"/>
          <w:szCs w:val="22"/>
          <w:rtl w:val="0"/>
          <w:lang w:val="en-US"/>
        </w:rPr>
      </w:pPr>
      <w:r>
        <w:rPr>
          <w:rFonts w:hint="default" w:ascii="Arial" w:hAnsi="Arial" w:cs="Arial"/>
          <w:b w:val="0"/>
          <w:bCs w:val="0"/>
          <w:color w:val="000000"/>
          <w:sz w:val="22"/>
          <w:szCs w:val="22"/>
          <w:rtl w:val="0"/>
          <w:lang w:val="en-US"/>
        </w:rPr>
        <w:t xml:space="preserve">The value calculated in year 2022 suggest that it takes Amazon about 8.4 times to sell and replaced it inventory in a year while it took her 8.34 times the previous year. </w:t>
      </w:r>
    </w:p>
    <w:p>
      <w:pPr>
        <w:numPr>
          <w:ilvl w:val="0"/>
          <w:numId w:val="4"/>
        </w:numPr>
        <w:ind w:left="0" w:leftChars="0" w:firstLine="0" w:firstLineChars="0"/>
        <w:rPr>
          <w:rFonts w:hint="default" w:ascii="Arial" w:hAnsi="Arial" w:cs="Arial"/>
          <w:b w:val="0"/>
          <w:bCs w:val="0"/>
          <w:color w:val="000000"/>
          <w:sz w:val="22"/>
          <w:szCs w:val="22"/>
          <w:rtl w:val="0"/>
          <w:lang w:val="en-US"/>
        </w:rPr>
      </w:pPr>
      <w:r>
        <w:rPr>
          <w:rFonts w:hint="default" w:ascii="Arial" w:hAnsi="Arial" w:cs="Arial"/>
          <w:b w:val="0"/>
          <w:bCs w:val="0"/>
          <w:color w:val="000000"/>
          <w:sz w:val="22"/>
          <w:szCs w:val="22"/>
          <w:rtl w:val="0"/>
          <w:lang w:val="en-US"/>
        </w:rPr>
        <w:t>Return on Asset</w:t>
      </w:r>
    </w:p>
    <w:p>
      <w:pPr>
        <w:numPr>
          <w:numId w:val="0"/>
        </w:numPr>
        <w:ind w:leftChars="0"/>
        <w:rPr>
          <w:rFonts w:hint="default" w:ascii="Arial" w:hAnsi="Arial" w:cs="Arial"/>
          <w:b w:val="0"/>
          <w:bCs w:val="0"/>
          <w:color w:val="000000"/>
          <w:sz w:val="22"/>
          <w:szCs w:val="22"/>
          <w:rtl w:val="0"/>
          <w:lang w:val="en-US"/>
        </w:rPr>
      </w:pPr>
      <w:r>
        <w:rPr>
          <w:rFonts w:hint="default" w:ascii="Arial" w:hAnsi="Arial" w:cs="Arial"/>
          <w:b w:val="0"/>
          <w:bCs w:val="0"/>
          <w:color w:val="000000"/>
          <w:sz w:val="22"/>
          <w:szCs w:val="22"/>
          <w:rtl w:val="0"/>
          <w:lang w:val="en-US"/>
        </w:rPr>
        <w:t>A negative ROA as in the case of -1% in 2022 may implies that the company is not generating sufficient profits to cover the costs associated with its assets. This could be as a result of operating loss as in this case or high debt and economic downturn.</w:t>
      </w:r>
    </w:p>
    <w:p>
      <w:pPr>
        <w:numPr>
          <w:numId w:val="0"/>
        </w:numPr>
        <w:rPr>
          <w:rFonts w:hint="default" w:ascii="Arial" w:hAnsi="Arial" w:cs="Arial"/>
          <w:b w:val="0"/>
          <w:bCs w:val="0"/>
          <w:color w:val="000000"/>
          <w:sz w:val="22"/>
          <w:szCs w:val="22"/>
          <w:rtl w:val="0"/>
          <w:lang w:val="en-US"/>
        </w:rPr>
      </w:pPr>
    </w:p>
    <w:p>
      <w:pPr>
        <w:numPr>
          <w:numId w:val="0"/>
        </w:numPr>
        <w:rPr>
          <w:rFonts w:hint="default" w:ascii="Arial" w:hAnsi="Arial" w:cs="Arial"/>
          <w:b/>
          <w:bCs/>
          <w:color w:val="000000"/>
          <w:sz w:val="22"/>
          <w:szCs w:val="22"/>
          <w:rtl w:val="0"/>
          <w:lang w:val="en-US"/>
        </w:rPr>
      </w:pPr>
      <w:r>
        <w:rPr>
          <w:rFonts w:hint="default" w:ascii="Arial" w:hAnsi="Arial"/>
          <w:b/>
          <w:bCs/>
          <w:color w:val="000000"/>
          <w:sz w:val="22"/>
          <w:szCs w:val="22"/>
          <w:rtl w:val="0"/>
          <w:lang w:val="en-US"/>
        </w:rPr>
        <w:t>Investor/market ratios</w:t>
      </w:r>
    </w:p>
    <w:p>
      <w:pPr>
        <w:numPr>
          <w:ilvl w:val="0"/>
          <w:numId w:val="5"/>
        </w:numPr>
        <w:rPr>
          <w:rFonts w:hint="default" w:ascii="Arial" w:hAnsi="Arial" w:cs="Arial"/>
          <w:b w:val="0"/>
          <w:bCs w:val="0"/>
          <w:color w:val="000000"/>
          <w:sz w:val="22"/>
          <w:szCs w:val="22"/>
          <w:rtl w:val="0"/>
          <w:lang w:val="en-US"/>
        </w:rPr>
      </w:pPr>
      <w:r>
        <w:rPr>
          <w:rFonts w:hint="default" w:ascii="Arial" w:hAnsi="Arial" w:cs="Arial"/>
          <w:b w:val="0"/>
          <w:bCs w:val="0"/>
          <w:color w:val="000000"/>
          <w:sz w:val="22"/>
          <w:szCs w:val="22"/>
          <w:rtl w:val="0"/>
          <w:lang w:val="en-US"/>
        </w:rPr>
        <w:t>Return on capital employed</w:t>
      </w:r>
    </w:p>
    <w:p>
      <w:pPr>
        <w:numPr>
          <w:numId w:val="0"/>
        </w:numPr>
        <w:rPr>
          <w:rFonts w:hint="default" w:ascii="Arial" w:hAnsi="Arial" w:cs="Arial"/>
          <w:b w:val="0"/>
          <w:bCs w:val="0"/>
          <w:color w:val="000000"/>
          <w:sz w:val="22"/>
          <w:szCs w:val="22"/>
          <w:rtl w:val="0"/>
          <w:lang w:val="en-US"/>
        </w:rPr>
      </w:pPr>
      <w:r>
        <w:rPr>
          <w:rFonts w:hint="default" w:ascii="Arial" w:hAnsi="Arial"/>
          <w:b w:val="0"/>
          <w:bCs w:val="0"/>
          <w:color w:val="000000"/>
          <w:sz w:val="22"/>
          <w:szCs w:val="22"/>
          <w:rtl w:val="0"/>
          <w:lang w:val="en-US"/>
        </w:rPr>
        <w:t>ROCE which measures the efficiency with which a company generates profits from the capital invested in the business. In this case, Amazon generates profit about 9% from capital employed in 2021, however, this drops to 4% the following year.</w:t>
      </w: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ymbol">
    <w:panose1 w:val="050501020107060205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6407C36"/>
    <w:multiLevelType w:val="singleLevel"/>
    <w:tmpl w:val="F6407C36"/>
    <w:lvl w:ilvl="0" w:tentative="0">
      <w:start w:val="1"/>
      <w:numFmt w:val="decimal"/>
      <w:lvlText w:val="%1."/>
      <w:lvlJc w:val="left"/>
      <w:pPr>
        <w:tabs>
          <w:tab w:val="left" w:pos="312"/>
        </w:tabs>
      </w:pPr>
    </w:lvl>
  </w:abstractNum>
  <w:abstractNum w:abstractNumId="1">
    <w:nsid w:val="FEF1B4B3"/>
    <w:multiLevelType w:val="singleLevel"/>
    <w:tmpl w:val="FEF1B4B3"/>
    <w:lvl w:ilvl="0" w:tentative="0">
      <w:start w:val="1"/>
      <w:numFmt w:val="decimal"/>
      <w:suff w:val="space"/>
      <w:lvlText w:val="%1."/>
      <w:lvlJc w:val="left"/>
    </w:lvl>
  </w:abstractNum>
  <w:abstractNum w:abstractNumId="2">
    <w:nsid w:val="1698CB79"/>
    <w:multiLevelType w:val="singleLevel"/>
    <w:tmpl w:val="1698CB79"/>
    <w:lvl w:ilvl="0" w:tentative="0">
      <w:start w:val="1"/>
      <w:numFmt w:val="decimal"/>
      <w:suff w:val="space"/>
      <w:lvlText w:val="%1."/>
      <w:lvlJc w:val="left"/>
    </w:lvl>
  </w:abstractNum>
  <w:abstractNum w:abstractNumId="3">
    <w:nsid w:val="65A1BBD5"/>
    <w:multiLevelType w:val="singleLevel"/>
    <w:tmpl w:val="65A1BBD5"/>
    <w:lvl w:ilvl="0" w:tentative="0">
      <w:start w:val="1"/>
      <w:numFmt w:val="decimal"/>
      <w:suff w:val="space"/>
      <w:lvlText w:val="%1."/>
      <w:lvlJc w:val="left"/>
    </w:lvl>
  </w:abstractNum>
  <w:abstractNum w:abstractNumId="4">
    <w:nsid w:val="7AB0EA2E"/>
    <w:multiLevelType w:val="singleLevel"/>
    <w:tmpl w:val="7AB0EA2E"/>
    <w:lvl w:ilvl="0" w:tentative="0">
      <w:start w:val="1"/>
      <w:numFmt w:val="decimal"/>
      <w:suff w:val="space"/>
      <w:lvlText w:val="%1."/>
      <w:lvlJc w:val="left"/>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0F1E87"/>
    <w:rsid w:val="02A52864"/>
    <w:rsid w:val="03DC28E1"/>
    <w:rsid w:val="0C362716"/>
    <w:rsid w:val="15F9409B"/>
    <w:rsid w:val="166127C6"/>
    <w:rsid w:val="187C53AA"/>
    <w:rsid w:val="1F8467C0"/>
    <w:rsid w:val="228C453A"/>
    <w:rsid w:val="238002CA"/>
    <w:rsid w:val="23BF3632"/>
    <w:rsid w:val="25EF714A"/>
    <w:rsid w:val="26F0476E"/>
    <w:rsid w:val="27582E99"/>
    <w:rsid w:val="2BEA0719"/>
    <w:rsid w:val="2D254C1E"/>
    <w:rsid w:val="2F837F80"/>
    <w:rsid w:val="2F843526"/>
    <w:rsid w:val="31DC1059"/>
    <w:rsid w:val="32A43677"/>
    <w:rsid w:val="33EC20BE"/>
    <w:rsid w:val="34A53A6B"/>
    <w:rsid w:val="400D3523"/>
    <w:rsid w:val="42E671F0"/>
    <w:rsid w:val="43D638D9"/>
    <w:rsid w:val="48B102D4"/>
    <w:rsid w:val="4A750A85"/>
    <w:rsid w:val="4B043FA0"/>
    <w:rsid w:val="4B683CC5"/>
    <w:rsid w:val="4F5F5AC3"/>
    <w:rsid w:val="4FBF2665"/>
    <w:rsid w:val="54FB4AFB"/>
    <w:rsid w:val="54FC257C"/>
    <w:rsid w:val="562D06F0"/>
    <w:rsid w:val="56DD33DB"/>
    <w:rsid w:val="572F3796"/>
    <w:rsid w:val="58BC7D28"/>
    <w:rsid w:val="5A0F1E87"/>
    <w:rsid w:val="5A8B2916"/>
    <w:rsid w:val="5E284C88"/>
    <w:rsid w:val="5FBF6023"/>
    <w:rsid w:val="615A3846"/>
    <w:rsid w:val="65565350"/>
    <w:rsid w:val="663C3472"/>
    <w:rsid w:val="67F22715"/>
    <w:rsid w:val="69212E07"/>
    <w:rsid w:val="6BA8732E"/>
    <w:rsid w:val="6C8C2E23"/>
    <w:rsid w:val="6DA822F6"/>
    <w:rsid w:val="6F8040FB"/>
    <w:rsid w:val="71B5409B"/>
    <w:rsid w:val="72E36D0B"/>
    <w:rsid w:val="7C4418D7"/>
    <w:rsid w:val="7F764C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4">
    <w:name w:val="Strong"/>
    <w:basedOn w:val="2"/>
    <w:qFormat/>
    <w:uiPriority w:val="0"/>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104</TotalTime>
  <ScaleCrop>false</ScaleCrop>
  <LinksUpToDate>false</LinksUpToDate>
  <CharactersWithSpaces>0</CharactersWithSpaces>
  <Application>WPS Office_12.2.0.13431_F1E327BC-269C-435d-A152-05C5408002CA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2024-02-14T15:13:00Z</dcterms:created>
  <dc:creator>WPS_1666186833</dc:creator>
  <cp:lastModifiedBy>WPS_1666186833</cp:lastModifiedBy>
  <dcterms:modified xsi:type="dcterms:W3CDTF">2024-02-15T09:04:24Z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1033-12.2.0.13431</vt:lpwstr>
  </property>
  <property fmtid="{D5CDD505-2E9C-101B-9397-08002B2CF9AE}" pid="3" name="ICV">
    <vt:lpwstr>2EF1B304A85048CFBD1B81504311277F_11</vt:lpwstr>
  </property>
</Properties>
</file>