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0E88E" w14:textId="383028C9" w:rsidR="00083A81" w:rsidRPr="002C52FF" w:rsidRDefault="005F05A1" w:rsidP="002C52FF">
      <w:pPr>
        <w:pStyle w:val="Title"/>
        <w:spacing w:after="0"/>
        <w:rPr>
          <w:rFonts w:cstheme="majorHAnsi"/>
          <w:sz w:val="32"/>
          <w:szCs w:val="32"/>
        </w:rPr>
      </w:pPr>
      <w:r w:rsidRPr="002C52FF">
        <w:rPr>
          <w:rFonts w:cstheme="majorHAnsi"/>
          <w:sz w:val="32"/>
          <w:szCs w:val="32"/>
        </w:rPr>
        <w:t xml:space="preserve">Industry Financial Peer Comparison </w:t>
      </w:r>
    </w:p>
    <w:p w14:paraId="03A604DA" w14:textId="77777777" w:rsidR="00F75DB6" w:rsidRPr="002C52FF" w:rsidRDefault="00F75DB6" w:rsidP="002C52FF">
      <w:pPr>
        <w:pStyle w:val="Heading2"/>
        <w:rPr>
          <w:rFonts w:cstheme="majorHAnsi"/>
          <w:sz w:val="22"/>
          <w:szCs w:val="22"/>
        </w:rPr>
      </w:pPr>
      <w:r w:rsidRPr="002C52FF">
        <w:rPr>
          <w:rFonts w:cstheme="majorHAnsi"/>
          <w:sz w:val="22"/>
          <w:szCs w:val="22"/>
        </w:rPr>
        <w:t>1. Hospitality Industry</w:t>
      </w:r>
    </w:p>
    <w:p w14:paraId="1314CE2E" w14:textId="77777777" w:rsidR="00F75DB6" w:rsidRPr="002C52FF" w:rsidRDefault="00F75DB6" w:rsidP="002C52FF">
      <w:pPr>
        <w:spacing w:after="0"/>
        <w:rPr>
          <w:rFonts w:asciiTheme="majorHAnsi" w:hAnsiTheme="majorHAnsi" w:cstheme="majorHAnsi"/>
        </w:rPr>
      </w:pPr>
      <w:r w:rsidRPr="002C52FF">
        <w:rPr>
          <w:rFonts w:asciiTheme="majorHAnsi" w:hAnsiTheme="majorHAnsi" w:cstheme="majorHAnsi"/>
        </w:rPr>
        <w:t>Companies: Marriott International, Hilton Worldwide Holdings, Hyatt Hotels Corporation</w:t>
      </w:r>
    </w:p>
    <w:tbl>
      <w:tblPr>
        <w:tblStyle w:val="TableGrid"/>
        <w:tblW w:w="0" w:type="auto"/>
        <w:tblLook w:val="04A0" w:firstRow="1" w:lastRow="0" w:firstColumn="1" w:lastColumn="0" w:noHBand="0" w:noVBand="1"/>
      </w:tblPr>
      <w:tblGrid>
        <w:gridCol w:w="1409"/>
        <w:gridCol w:w="995"/>
        <w:gridCol w:w="995"/>
        <w:gridCol w:w="995"/>
        <w:gridCol w:w="995"/>
        <w:gridCol w:w="882"/>
        <w:gridCol w:w="882"/>
        <w:gridCol w:w="882"/>
      </w:tblGrid>
      <w:tr w:rsidR="00A92FAA" w:rsidRPr="002C52FF" w14:paraId="1D272B41" w14:textId="77777777" w:rsidTr="00A92FAA">
        <w:tc>
          <w:tcPr>
            <w:tcW w:w="1409" w:type="dxa"/>
          </w:tcPr>
          <w:p w14:paraId="5F58DAF7" w14:textId="77777777" w:rsidR="00A92FAA" w:rsidRPr="002C52FF" w:rsidRDefault="00A92FAA" w:rsidP="002C52FF">
            <w:pPr>
              <w:rPr>
                <w:rFonts w:asciiTheme="majorHAnsi" w:hAnsiTheme="majorHAnsi" w:cstheme="majorHAnsi"/>
              </w:rPr>
            </w:pPr>
            <w:r w:rsidRPr="002C52FF">
              <w:rPr>
                <w:rFonts w:asciiTheme="majorHAnsi" w:hAnsiTheme="majorHAnsi" w:cstheme="majorHAnsi"/>
              </w:rPr>
              <w:t>Company</w:t>
            </w:r>
          </w:p>
        </w:tc>
        <w:tc>
          <w:tcPr>
            <w:tcW w:w="995" w:type="dxa"/>
          </w:tcPr>
          <w:p w14:paraId="6ED51C14" w14:textId="77777777" w:rsidR="00A92FAA" w:rsidRPr="002C52FF" w:rsidRDefault="00A92FAA" w:rsidP="002C52FF">
            <w:pPr>
              <w:rPr>
                <w:rFonts w:asciiTheme="majorHAnsi" w:hAnsiTheme="majorHAnsi" w:cstheme="majorHAnsi"/>
              </w:rPr>
            </w:pPr>
            <w:r w:rsidRPr="002C52FF">
              <w:rPr>
                <w:rFonts w:asciiTheme="majorHAnsi" w:hAnsiTheme="majorHAnsi" w:cstheme="majorHAnsi"/>
              </w:rPr>
              <w:t>2022 Revenue ($B)</w:t>
            </w:r>
          </w:p>
        </w:tc>
        <w:tc>
          <w:tcPr>
            <w:tcW w:w="995" w:type="dxa"/>
          </w:tcPr>
          <w:p w14:paraId="00A3301E" w14:textId="77777777" w:rsidR="00A92FAA" w:rsidRPr="002C52FF" w:rsidRDefault="00A92FAA" w:rsidP="002C52FF">
            <w:pPr>
              <w:rPr>
                <w:rFonts w:asciiTheme="majorHAnsi" w:hAnsiTheme="majorHAnsi" w:cstheme="majorHAnsi"/>
              </w:rPr>
            </w:pPr>
            <w:r w:rsidRPr="002C52FF">
              <w:rPr>
                <w:rFonts w:asciiTheme="majorHAnsi" w:hAnsiTheme="majorHAnsi" w:cstheme="majorHAnsi"/>
              </w:rPr>
              <w:t>2023 Revenue ($B)</w:t>
            </w:r>
          </w:p>
        </w:tc>
        <w:tc>
          <w:tcPr>
            <w:tcW w:w="995" w:type="dxa"/>
          </w:tcPr>
          <w:p w14:paraId="0F79A453" w14:textId="77777777" w:rsidR="00A92FAA" w:rsidRPr="002C52FF" w:rsidRDefault="00A92FAA" w:rsidP="002C52FF">
            <w:pPr>
              <w:rPr>
                <w:rFonts w:asciiTheme="majorHAnsi" w:hAnsiTheme="majorHAnsi" w:cstheme="majorHAnsi"/>
              </w:rPr>
            </w:pPr>
            <w:r w:rsidRPr="002C52FF">
              <w:rPr>
                <w:rFonts w:asciiTheme="majorHAnsi" w:hAnsiTheme="majorHAnsi" w:cstheme="majorHAnsi"/>
              </w:rPr>
              <w:t>2024 Revenue ($B)</w:t>
            </w:r>
          </w:p>
        </w:tc>
        <w:tc>
          <w:tcPr>
            <w:tcW w:w="995" w:type="dxa"/>
          </w:tcPr>
          <w:p w14:paraId="48A1CB2F" w14:textId="77777777" w:rsidR="00A92FAA" w:rsidRPr="002C52FF" w:rsidRDefault="00A92FAA" w:rsidP="002C52FF">
            <w:pPr>
              <w:rPr>
                <w:rFonts w:asciiTheme="majorHAnsi" w:hAnsiTheme="majorHAnsi" w:cstheme="majorHAnsi"/>
              </w:rPr>
            </w:pPr>
            <w:r w:rsidRPr="002C52FF">
              <w:rPr>
                <w:rFonts w:asciiTheme="majorHAnsi" w:hAnsiTheme="majorHAnsi" w:cstheme="majorHAnsi"/>
              </w:rPr>
              <w:t>2025 Revenue ($B, TTM)</w:t>
            </w:r>
          </w:p>
        </w:tc>
        <w:tc>
          <w:tcPr>
            <w:tcW w:w="882" w:type="dxa"/>
          </w:tcPr>
          <w:p w14:paraId="01FCB6E9" w14:textId="77777777" w:rsidR="00A92FAA" w:rsidRPr="002C52FF" w:rsidRDefault="00A92FAA" w:rsidP="002C52FF">
            <w:pPr>
              <w:rPr>
                <w:rFonts w:asciiTheme="majorHAnsi" w:hAnsiTheme="majorHAnsi" w:cstheme="majorHAnsi"/>
              </w:rPr>
            </w:pPr>
            <w:r w:rsidRPr="002C52FF">
              <w:rPr>
                <w:rFonts w:asciiTheme="majorHAnsi" w:hAnsiTheme="majorHAnsi" w:cstheme="majorHAnsi"/>
              </w:rPr>
              <w:t>2022 Net Income ($B)</w:t>
            </w:r>
          </w:p>
        </w:tc>
        <w:tc>
          <w:tcPr>
            <w:tcW w:w="882" w:type="dxa"/>
          </w:tcPr>
          <w:p w14:paraId="5701C8EF" w14:textId="77777777" w:rsidR="00A92FAA" w:rsidRPr="002C52FF" w:rsidRDefault="00A92FAA" w:rsidP="002C52FF">
            <w:pPr>
              <w:rPr>
                <w:rFonts w:asciiTheme="majorHAnsi" w:hAnsiTheme="majorHAnsi" w:cstheme="majorHAnsi"/>
              </w:rPr>
            </w:pPr>
            <w:r w:rsidRPr="002C52FF">
              <w:rPr>
                <w:rFonts w:asciiTheme="majorHAnsi" w:hAnsiTheme="majorHAnsi" w:cstheme="majorHAnsi"/>
              </w:rPr>
              <w:t>2023 Net Income ($B)</w:t>
            </w:r>
          </w:p>
        </w:tc>
        <w:tc>
          <w:tcPr>
            <w:tcW w:w="882" w:type="dxa"/>
          </w:tcPr>
          <w:p w14:paraId="7A864CD1" w14:textId="77777777" w:rsidR="00A92FAA" w:rsidRPr="002C52FF" w:rsidRDefault="00A92FAA" w:rsidP="002C52FF">
            <w:pPr>
              <w:rPr>
                <w:rFonts w:asciiTheme="majorHAnsi" w:hAnsiTheme="majorHAnsi" w:cstheme="majorHAnsi"/>
              </w:rPr>
            </w:pPr>
            <w:r w:rsidRPr="002C52FF">
              <w:rPr>
                <w:rFonts w:asciiTheme="majorHAnsi" w:hAnsiTheme="majorHAnsi" w:cstheme="majorHAnsi"/>
              </w:rPr>
              <w:t>2024 Net Income ($B)</w:t>
            </w:r>
          </w:p>
        </w:tc>
      </w:tr>
      <w:tr w:rsidR="00A92FAA" w:rsidRPr="002C52FF" w14:paraId="2C7666F9" w14:textId="77777777" w:rsidTr="00A92FAA">
        <w:tc>
          <w:tcPr>
            <w:tcW w:w="1409" w:type="dxa"/>
          </w:tcPr>
          <w:p w14:paraId="02B3156A" w14:textId="77777777" w:rsidR="00A92FAA" w:rsidRPr="002C52FF" w:rsidRDefault="00A92FAA" w:rsidP="002C52FF">
            <w:pPr>
              <w:rPr>
                <w:rFonts w:asciiTheme="majorHAnsi" w:hAnsiTheme="majorHAnsi" w:cstheme="majorHAnsi"/>
              </w:rPr>
            </w:pPr>
            <w:r w:rsidRPr="002C52FF">
              <w:rPr>
                <w:rFonts w:asciiTheme="majorHAnsi" w:hAnsiTheme="majorHAnsi" w:cstheme="majorHAnsi"/>
              </w:rPr>
              <w:t>Marriott</w:t>
            </w:r>
          </w:p>
        </w:tc>
        <w:tc>
          <w:tcPr>
            <w:tcW w:w="995" w:type="dxa"/>
          </w:tcPr>
          <w:p w14:paraId="2B492AD9" w14:textId="77777777" w:rsidR="00A92FAA" w:rsidRPr="002C52FF" w:rsidRDefault="00A92FAA" w:rsidP="002C52FF">
            <w:pPr>
              <w:rPr>
                <w:rFonts w:asciiTheme="majorHAnsi" w:hAnsiTheme="majorHAnsi" w:cstheme="majorHAnsi"/>
              </w:rPr>
            </w:pPr>
            <w:r w:rsidRPr="002C52FF">
              <w:rPr>
                <w:rFonts w:asciiTheme="majorHAnsi" w:hAnsiTheme="majorHAnsi" w:cstheme="majorHAnsi"/>
              </w:rPr>
              <w:t>20.77</w:t>
            </w:r>
          </w:p>
        </w:tc>
        <w:tc>
          <w:tcPr>
            <w:tcW w:w="995" w:type="dxa"/>
          </w:tcPr>
          <w:p w14:paraId="30FD882C" w14:textId="77777777" w:rsidR="00A92FAA" w:rsidRPr="002C52FF" w:rsidRDefault="00A92FAA" w:rsidP="002C52FF">
            <w:pPr>
              <w:rPr>
                <w:rFonts w:asciiTheme="majorHAnsi" w:hAnsiTheme="majorHAnsi" w:cstheme="majorHAnsi"/>
              </w:rPr>
            </w:pPr>
            <w:r w:rsidRPr="002C52FF">
              <w:rPr>
                <w:rFonts w:asciiTheme="majorHAnsi" w:hAnsiTheme="majorHAnsi" w:cstheme="majorHAnsi"/>
              </w:rPr>
              <w:t>23.71</w:t>
            </w:r>
          </w:p>
        </w:tc>
        <w:tc>
          <w:tcPr>
            <w:tcW w:w="995" w:type="dxa"/>
          </w:tcPr>
          <w:p w14:paraId="095DD974" w14:textId="77777777" w:rsidR="00A92FAA" w:rsidRPr="002C52FF" w:rsidRDefault="00A92FAA" w:rsidP="002C52FF">
            <w:pPr>
              <w:rPr>
                <w:rFonts w:asciiTheme="majorHAnsi" w:hAnsiTheme="majorHAnsi" w:cstheme="majorHAnsi"/>
              </w:rPr>
            </w:pPr>
            <w:r w:rsidRPr="002C52FF">
              <w:rPr>
                <w:rFonts w:asciiTheme="majorHAnsi" w:hAnsiTheme="majorHAnsi" w:cstheme="majorHAnsi"/>
              </w:rPr>
              <w:t>25.10</w:t>
            </w:r>
          </w:p>
        </w:tc>
        <w:tc>
          <w:tcPr>
            <w:tcW w:w="995" w:type="dxa"/>
          </w:tcPr>
          <w:p w14:paraId="706BE5F8" w14:textId="77777777" w:rsidR="00A92FAA" w:rsidRPr="002C52FF" w:rsidRDefault="00A92FAA" w:rsidP="002C52FF">
            <w:pPr>
              <w:rPr>
                <w:rFonts w:asciiTheme="majorHAnsi" w:hAnsiTheme="majorHAnsi" w:cstheme="majorHAnsi"/>
              </w:rPr>
            </w:pPr>
            <w:r w:rsidRPr="002C52FF">
              <w:rPr>
                <w:rFonts w:asciiTheme="majorHAnsi" w:hAnsiTheme="majorHAnsi" w:cstheme="majorHAnsi"/>
              </w:rPr>
              <w:t>25.39</w:t>
            </w:r>
          </w:p>
        </w:tc>
        <w:tc>
          <w:tcPr>
            <w:tcW w:w="882" w:type="dxa"/>
          </w:tcPr>
          <w:p w14:paraId="76624916" w14:textId="77777777" w:rsidR="00A92FAA" w:rsidRPr="002C52FF" w:rsidRDefault="00A92FAA" w:rsidP="002C52FF">
            <w:pPr>
              <w:rPr>
                <w:rFonts w:asciiTheme="majorHAnsi" w:hAnsiTheme="majorHAnsi" w:cstheme="majorHAnsi"/>
              </w:rPr>
            </w:pPr>
            <w:r w:rsidRPr="002C52FF">
              <w:rPr>
                <w:rFonts w:asciiTheme="majorHAnsi" w:hAnsiTheme="majorHAnsi" w:cstheme="majorHAnsi"/>
              </w:rPr>
              <w:t>2.36</w:t>
            </w:r>
          </w:p>
        </w:tc>
        <w:tc>
          <w:tcPr>
            <w:tcW w:w="882" w:type="dxa"/>
          </w:tcPr>
          <w:p w14:paraId="339AC3B5" w14:textId="77777777" w:rsidR="00A92FAA" w:rsidRPr="002C52FF" w:rsidRDefault="00A92FAA" w:rsidP="002C52FF">
            <w:pPr>
              <w:rPr>
                <w:rFonts w:asciiTheme="majorHAnsi" w:hAnsiTheme="majorHAnsi" w:cstheme="majorHAnsi"/>
              </w:rPr>
            </w:pPr>
            <w:r w:rsidRPr="002C52FF">
              <w:rPr>
                <w:rFonts w:asciiTheme="majorHAnsi" w:hAnsiTheme="majorHAnsi" w:cstheme="majorHAnsi"/>
              </w:rPr>
              <w:t>3.08</w:t>
            </w:r>
          </w:p>
        </w:tc>
        <w:tc>
          <w:tcPr>
            <w:tcW w:w="882" w:type="dxa"/>
          </w:tcPr>
          <w:p w14:paraId="5352D430" w14:textId="77777777" w:rsidR="00A92FAA" w:rsidRPr="002C52FF" w:rsidRDefault="00A92FAA" w:rsidP="002C52FF">
            <w:pPr>
              <w:rPr>
                <w:rFonts w:asciiTheme="majorHAnsi" w:hAnsiTheme="majorHAnsi" w:cstheme="majorHAnsi"/>
              </w:rPr>
            </w:pPr>
            <w:r w:rsidRPr="002C52FF">
              <w:rPr>
                <w:rFonts w:asciiTheme="majorHAnsi" w:hAnsiTheme="majorHAnsi" w:cstheme="majorHAnsi"/>
              </w:rPr>
              <w:t>2.38</w:t>
            </w:r>
          </w:p>
        </w:tc>
      </w:tr>
      <w:tr w:rsidR="00A92FAA" w:rsidRPr="002C52FF" w14:paraId="180E49FD" w14:textId="77777777" w:rsidTr="00A92FAA">
        <w:tc>
          <w:tcPr>
            <w:tcW w:w="1409" w:type="dxa"/>
          </w:tcPr>
          <w:p w14:paraId="5559184D" w14:textId="77777777" w:rsidR="00A92FAA" w:rsidRPr="002C52FF" w:rsidRDefault="00A92FAA" w:rsidP="002C52FF">
            <w:pPr>
              <w:rPr>
                <w:rFonts w:asciiTheme="majorHAnsi" w:hAnsiTheme="majorHAnsi" w:cstheme="majorHAnsi"/>
              </w:rPr>
            </w:pPr>
            <w:r w:rsidRPr="002C52FF">
              <w:rPr>
                <w:rFonts w:asciiTheme="majorHAnsi" w:hAnsiTheme="majorHAnsi" w:cstheme="majorHAnsi"/>
              </w:rPr>
              <w:t>Hilton</w:t>
            </w:r>
          </w:p>
        </w:tc>
        <w:tc>
          <w:tcPr>
            <w:tcW w:w="995" w:type="dxa"/>
          </w:tcPr>
          <w:p w14:paraId="56062481" w14:textId="77777777" w:rsidR="00A92FAA" w:rsidRPr="002C52FF" w:rsidRDefault="00A92FAA" w:rsidP="002C52FF">
            <w:pPr>
              <w:rPr>
                <w:rFonts w:asciiTheme="majorHAnsi" w:hAnsiTheme="majorHAnsi" w:cstheme="majorHAnsi"/>
              </w:rPr>
            </w:pPr>
            <w:r w:rsidRPr="002C52FF">
              <w:rPr>
                <w:rFonts w:asciiTheme="majorHAnsi" w:hAnsiTheme="majorHAnsi" w:cstheme="majorHAnsi"/>
              </w:rPr>
              <w:t>8.77</w:t>
            </w:r>
          </w:p>
        </w:tc>
        <w:tc>
          <w:tcPr>
            <w:tcW w:w="995" w:type="dxa"/>
          </w:tcPr>
          <w:p w14:paraId="44B33D3C" w14:textId="77777777" w:rsidR="00A92FAA" w:rsidRPr="002C52FF" w:rsidRDefault="00A92FAA" w:rsidP="002C52FF">
            <w:pPr>
              <w:rPr>
                <w:rFonts w:asciiTheme="majorHAnsi" w:hAnsiTheme="majorHAnsi" w:cstheme="majorHAnsi"/>
              </w:rPr>
            </w:pPr>
            <w:r w:rsidRPr="002C52FF">
              <w:rPr>
                <w:rFonts w:asciiTheme="majorHAnsi" w:hAnsiTheme="majorHAnsi" w:cstheme="majorHAnsi"/>
              </w:rPr>
              <w:t>10.24</w:t>
            </w:r>
          </w:p>
        </w:tc>
        <w:tc>
          <w:tcPr>
            <w:tcW w:w="995" w:type="dxa"/>
          </w:tcPr>
          <w:p w14:paraId="2B40EE81" w14:textId="77777777" w:rsidR="00A92FAA" w:rsidRPr="002C52FF" w:rsidRDefault="00A92FAA" w:rsidP="002C52FF">
            <w:pPr>
              <w:rPr>
                <w:rFonts w:asciiTheme="majorHAnsi" w:hAnsiTheme="majorHAnsi" w:cstheme="majorHAnsi"/>
              </w:rPr>
            </w:pPr>
            <w:r w:rsidRPr="002C52FF">
              <w:rPr>
                <w:rFonts w:asciiTheme="majorHAnsi" w:hAnsiTheme="majorHAnsi" w:cstheme="majorHAnsi"/>
              </w:rPr>
              <w:t>11.30</w:t>
            </w:r>
          </w:p>
        </w:tc>
        <w:tc>
          <w:tcPr>
            <w:tcW w:w="995" w:type="dxa"/>
          </w:tcPr>
          <w:p w14:paraId="750A9E2E" w14:textId="77777777" w:rsidR="00A92FAA" w:rsidRPr="002C52FF" w:rsidRDefault="00A92FAA" w:rsidP="002C52FF">
            <w:pPr>
              <w:rPr>
                <w:rFonts w:asciiTheme="majorHAnsi" w:hAnsiTheme="majorHAnsi" w:cstheme="majorHAnsi"/>
              </w:rPr>
            </w:pPr>
            <w:r w:rsidRPr="002C52FF">
              <w:rPr>
                <w:rFonts w:asciiTheme="majorHAnsi" w:hAnsiTheme="majorHAnsi" w:cstheme="majorHAnsi"/>
              </w:rPr>
              <w:t>11.30</w:t>
            </w:r>
          </w:p>
        </w:tc>
        <w:tc>
          <w:tcPr>
            <w:tcW w:w="882" w:type="dxa"/>
          </w:tcPr>
          <w:p w14:paraId="33634A51" w14:textId="77777777" w:rsidR="00A92FAA" w:rsidRPr="002C52FF" w:rsidRDefault="00A92FAA" w:rsidP="002C52FF">
            <w:pPr>
              <w:rPr>
                <w:rFonts w:asciiTheme="majorHAnsi" w:hAnsiTheme="majorHAnsi" w:cstheme="majorHAnsi"/>
              </w:rPr>
            </w:pPr>
            <w:r w:rsidRPr="002C52FF">
              <w:rPr>
                <w:rFonts w:asciiTheme="majorHAnsi" w:hAnsiTheme="majorHAnsi" w:cstheme="majorHAnsi"/>
              </w:rPr>
              <w:t>1.26</w:t>
            </w:r>
          </w:p>
        </w:tc>
        <w:tc>
          <w:tcPr>
            <w:tcW w:w="882" w:type="dxa"/>
          </w:tcPr>
          <w:p w14:paraId="0326C5CB" w14:textId="77777777" w:rsidR="00A92FAA" w:rsidRPr="002C52FF" w:rsidRDefault="00A92FAA" w:rsidP="002C52FF">
            <w:pPr>
              <w:rPr>
                <w:rFonts w:asciiTheme="majorHAnsi" w:hAnsiTheme="majorHAnsi" w:cstheme="majorHAnsi"/>
              </w:rPr>
            </w:pPr>
            <w:r w:rsidRPr="002C52FF">
              <w:rPr>
                <w:rFonts w:asciiTheme="majorHAnsi" w:hAnsiTheme="majorHAnsi" w:cstheme="majorHAnsi"/>
              </w:rPr>
              <w:t>1.14</w:t>
            </w:r>
          </w:p>
        </w:tc>
        <w:tc>
          <w:tcPr>
            <w:tcW w:w="882" w:type="dxa"/>
          </w:tcPr>
          <w:p w14:paraId="017EB15A" w14:textId="77777777" w:rsidR="00A92FAA" w:rsidRPr="002C52FF" w:rsidRDefault="00A92FAA" w:rsidP="002C52FF">
            <w:pPr>
              <w:rPr>
                <w:rFonts w:asciiTheme="majorHAnsi" w:hAnsiTheme="majorHAnsi" w:cstheme="majorHAnsi"/>
              </w:rPr>
            </w:pPr>
            <w:r w:rsidRPr="002C52FF">
              <w:rPr>
                <w:rFonts w:asciiTheme="majorHAnsi" w:hAnsiTheme="majorHAnsi" w:cstheme="majorHAnsi"/>
              </w:rPr>
              <w:t>1.54</w:t>
            </w:r>
          </w:p>
        </w:tc>
      </w:tr>
      <w:tr w:rsidR="00A92FAA" w:rsidRPr="002C52FF" w14:paraId="4967828B" w14:textId="77777777" w:rsidTr="00A92FAA">
        <w:tc>
          <w:tcPr>
            <w:tcW w:w="1409" w:type="dxa"/>
          </w:tcPr>
          <w:p w14:paraId="77392694" w14:textId="77777777" w:rsidR="00A92FAA" w:rsidRPr="002C52FF" w:rsidRDefault="00A92FAA" w:rsidP="002C52FF">
            <w:pPr>
              <w:rPr>
                <w:rFonts w:asciiTheme="majorHAnsi" w:hAnsiTheme="majorHAnsi" w:cstheme="majorHAnsi"/>
              </w:rPr>
            </w:pPr>
            <w:r w:rsidRPr="002C52FF">
              <w:rPr>
                <w:rFonts w:asciiTheme="majorHAnsi" w:hAnsiTheme="majorHAnsi" w:cstheme="majorHAnsi"/>
              </w:rPr>
              <w:t>Hyatt</w:t>
            </w:r>
          </w:p>
        </w:tc>
        <w:tc>
          <w:tcPr>
            <w:tcW w:w="995" w:type="dxa"/>
          </w:tcPr>
          <w:p w14:paraId="6689FA64" w14:textId="77777777" w:rsidR="00A92FAA" w:rsidRPr="002C52FF" w:rsidRDefault="00A92FAA" w:rsidP="002C52FF">
            <w:pPr>
              <w:rPr>
                <w:rFonts w:asciiTheme="majorHAnsi" w:hAnsiTheme="majorHAnsi" w:cstheme="majorHAnsi"/>
              </w:rPr>
            </w:pPr>
            <w:r w:rsidRPr="002C52FF">
              <w:rPr>
                <w:rFonts w:asciiTheme="majorHAnsi" w:hAnsiTheme="majorHAnsi" w:cstheme="majorHAnsi"/>
              </w:rPr>
              <w:t>~5.9</w:t>
            </w:r>
          </w:p>
        </w:tc>
        <w:tc>
          <w:tcPr>
            <w:tcW w:w="995" w:type="dxa"/>
          </w:tcPr>
          <w:p w14:paraId="5657CDA1" w14:textId="77777777" w:rsidR="00A92FAA" w:rsidRPr="002C52FF" w:rsidRDefault="00A92FAA" w:rsidP="002C52FF">
            <w:pPr>
              <w:rPr>
                <w:rFonts w:asciiTheme="majorHAnsi" w:hAnsiTheme="majorHAnsi" w:cstheme="majorHAnsi"/>
              </w:rPr>
            </w:pPr>
            <w:r w:rsidRPr="002C52FF">
              <w:rPr>
                <w:rFonts w:asciiTheme="majorHAnsi" w:hAnsiTheme="majorHAnsi" w:cstheme="majorHAnsi"/>
              </w:rPr>
              <w:t>~6.2</w:t>
            </w:r>
          </w:p>
        </w:tc>
        <w:tc>
          <w:tcPr>
            <w:tcW w:w="995" w:type="dxa"/>
          </w:tcPr>
          <w:p w14:paraId="01788AA2" w14:textId="77777777" w:rsidR="00A92FAA" w:rsidRPr="002C52FF" w:rsidRDefault="00A92FAA" w:rsidP="002C52FF">
            <w:pPr>
              <w:rPr>
                <w:rFonts w:asciiTheme="majorHAnsi" w:hAnsiTheme="majorHAnsi" w:cstheme="majorHAnsi"/>
              </w:rPr>
            </w:pPr>
            <w:r w:rsidRPr="002C52FF">
              <w:rPr>
                <w:rFonts w:asciiTheme="majorHAnsi" w:hAnsiTheme="majorHAnsi" w:cstheme="majorHAnsi"/>
              </w:rPr>
              <w:t>6.65</w:t>
            </w:r>
          </w:p>
        </w:tc>
        <w:tc>
          <w:tcPr>
            <w:tcW w:w="995" w:type="dxa"/>
          </w:tcPr>
          <w:p w14:paraId="086B26F9" w14:textId="77777777" w:rsidR="00A92FAA" w:rsidRPr="002C52FF" w:rsidRDefault="00A92FAA" w:rsidP="002C52FF">
            <w:pPr>
              <w:rPr>
                <w:rFonts w:asciiTheme="majorHAnsi" w:hAnsiTheme="majorHAnsi" w:cstheme="majorHAnsi"/>
              </w:rPr>
            </w:pPr>
            <w:r w:rsidRPr="002C52FF">
              <w:rPr>
                <w:rFonts w:asciiTheme="majorHAnsi" w:hAnsiTheme="majorHAnsi" w:cstheme="majorHAnsi"/>
              </w:rPr>
              <w:t>~6.6</w:t>
            </w:r>
          </w:p>
        </w:tc>
        <w:tc>
          <w:tcPr>
            <w:tcW w:w="882" w:type="dxa"/>
          </w:tcPr>
          <w:p w14:paraId="11C2C1D4" w14:textId="77777777" w:rsidR="00A92FAA" w:rsidRPr="002C52FF" w:rsidRDefault="00A92FAA" w:rsidP="002C52FF">
            <w:pPr>
              <w:rPr>
                <w:rFonts w:asciiTheme="majorHAnsi" w:hAnsiTheme="majorHAnsi" w:cstheme="majorHAnsi"/>
              </w:rPr>
            </w:pPr>
            <w:r w:rsidRPr="002C52FF">
              <w:rPr>
                <w:rFonts w:asciiTheme="majorHAnsi" w:hAnsiTheme="majorHAnsi" w:cstheme="majorHAnsi"/>
              </w:rPr>
              <w:t>~0.45</w:t>
            </w:r>
          </w:p>
        </w:tc>
        <w:tc>
          <w:tcPr>
            <w:tcW w:w="882" w:type="dxa"/>
          </w:tcPr>
          <w:p w14:paraId="779296CD" w14:textId="77777777" w:rsidR="00A92FAA" w:rsidRPr="002C52FF" w:rsidRDefault="00A92FAA" w:rsidP="002C52FF">
            <w:pPr>
              <w:rPr>
                <w:rFonts w:asciiTheme="majorHAnsi" w:hAnsiTheme="majorHAnsi" w:cstheme="majorHAnsi"/>
              </w:rPr>
            </w:pPr>
            <w:r w:rsidRPr="002C52FF">
              <w:rPr>
                <w:rFonts w:asciiTheme="majorHAnsi" w:hAnsiTheme="majorHAnsi" w:cstheme="majorHAnsi"/>
              </w:rPr>
              <w:t>~0.48</w:t>
            </w:r>
          </w:p>
        </w:tc>
        <w:tc>
          <w:tcPr>
            <w:tcW w:w="882" w:type="dxa"/>
          </w:tcPr>
          <w:p w14:paraId="4DB0222E" w14:textId="77777777" w:rsidR="00A92FAA" w:rsidRPr="002C52FF" w:rsidRDefault="00A92FAA" w:rsidP="002C52FF">
            <w:pPr>
              <w:rPr>
                <w:rFonts w:asciiTheme="majorHAnsi" w:hAnsiTheme="majorHAnsi" w:cstheme="majorHAnsi"/>
              </w:rPr>
            </w:pPr>
            <w:r w:rsidRPr="002C52FF">
              <w:rPr>
                <w:rFonts w:asciiTheme="majorHAnsi" w:hAnsiTheme="majorHAnsi" w:cstheme="majorHAnsi"/>
              </w:rPr>
              <w:t>1.30</w:t>
            </w:r>
          </w:p>
        </w:tc>
      </w:tr>
    </w:tbl>
    <w:p w14:paraId="28F0BDFB" w14:textId="77777777" w:rsidR="0077188B" w:rsidRPr="002C52FF" w:rsidRDefault="0077188B" w:rsidP="002C52FF">
      <w:pPr>
        <w:spacing w:after="0"/>
        <w:rPr>
          <w:rFonts w:asciiTheme="majorHAnsi" w:hAnsiTheme="majorHAnsi" w:cstheme="majorHAnsi"/>
        </w:rPr>
      </w:pPr>
    </w:p>
    <w:p w14:paraId="7174E37B" w14:textId="352CBA5C" w:rsidR="00BA518E" w:rsidRPr="002C52FF" w:rsidRDefault="00BA518E" w:rsidP="002C52FF">
      <w:pPr>
        <w:spacing w:after="0"/>
        <w:rPr>
          <w:rFonts w:asciiTheme="majorHAnsi" w:hAnsiTheme="majorHAnsi" w:cstheme="majorHAnsi"/>
        </w:rPr>
      </w:pPr>
      <w:r w:rsidRPr="002C52FF">
        <w:rPr>
          <w:rFonts w:asciiTheme="majorHAnsi" w:hAnsiTheme="majorHAnsi" w:cstheme="majorHAnsi"/>
        </w:rPr>
        <w:t>Marriott consistently maintains its leadership in both revenue and profitability, showing steady growth post-pandemic, although 202</w:t>
      </w:r>
      <w:r w:rsidR="00BB31A9">
        <w:rPr>
          <w:rFonts w:asciiTheme="majorHAnsi" w:hAnsiTheme="majorHAnsi" w:cstheme="majorHAnsi"/>
        </w:rPr>
        <w:t>4</w:t>
      </w:r>
      <w:r w:rsidRPr="002C52FF">
        <w:rPr>
          <w:rFonts w:asciiTheme="majorHAnsi" w:hAnsiTheme="majorHAnsi" w:cstheme="majorHAnsi"/>
        </w:rPr>
        <w:t xml:space="preserve"> witnessed a decline in net income. Hilton has rebounded effectively, with an increase in net income in 202</w:t>
      </w:r>
      <w:r w:rsidR="00BB31A9">
        <w:rPr>
          <w:rFonts w:asciiTheme="majorHAnsi" w:hAnsiTheme="majorHAnsi" w:cstheme="majorHAnsi"/>
        </w:rPr>
        <w:t>4</w:t>
      </w:r>
      <w:r w:rsidRPr="002C52FF">
        <w:rPr>
          <w:rFonts w:asciiTheme="majorHAnsi" w:hAnsiTheme="majorHAnsi" w:cstheme="majorHAnsi"/>
        </w:rPr>
        <w:t xml:space="preserve"> after a slight dip in 2023. Hyatt, though smaller in size, exhibits gradual growth and investor optimism, likely driven by its upscale market positioning.</w:t>
      </w:r>
    </w:p>
    <w:p w14:paraId="3880EBE8" w14:textId="28C7B4E8" w:rsidR="00083A81" w:rsidRPr="002C52FF" w:rsidRDefault="005F05A1" w:rsidP="002C52FF">
      <w:pPr>
        <w:pStyle w:val="Heading2"/>
        <w:rPr>
          <w:rFonts w:cstheme="majorHAnsi"/>
          <w:sz w:val="22"/>
          <w:szCs w:val="22"/>
        </w:rPr>
      </w:pPr>
      <w:r w:rsidRPr="002C52FF">
        <w:rPr>
          <w:rFonts w:cstheme="majorHAnsi"/>
          <w:sz w:val="22"/>
          <w:szCs w:val="22"/>
        </w:rPr>
        <w:t>Financial Metrics (TTM as of March 31, 2025)</w:t>
      </w:r>
    </w:p>
    <w:tbl>
      <w:tblPr>
        <w:tblStyle w:val="TableGrid"/>
        <w:tblW w:w="0" w:type="auto"/>
        <w:tblLook w:val="04A0" w:firstRow="1" w:lastRow="0" w:firstColumn="1" w:lastColumn="0" w:noHBand="0" w:noVBand="1"/>
      </w:tblPr>
      <w:tblGrid>
        <w:gridCol w:w="1439"/>
        <w:gridCol w:w="1439"/>
        <w:gridCol w:w="1438"/>
        <w:gridCol w:w="1438"/>
        <w:gridCol w:w="1438"/>
        <w:gridCol w:w="1438"/>
      </w:tblGrid>
      <w:tr w:rsidR="00083A81" w:rsidRPr="002C52FF" w14:paraId="3E3C486C" w14:textId="77777777">
        <w:tc>
          <w:tcPr>
            <w:tcW w:w="1440" w:type="dxa"/>
          </w:tcPr>
          <w:p w14:paraId="44E6E9CA" w14:textId="77777777" w:rsidR="00083A81" w:rsidRPr="002C52FF" w:rsidRDefault="005F05A1" w:rsidP="002C52FF">
            <w:pPr>
              <w:rPr>
                <w:rFonts w:asciiTheme="majorHAnsi" w:hAnsiTheme="majorHAnsi" w:cstheme="majorHAnsi"/>
              </w:rPr>
            </w:pPr>
            <w:r w:rsidRPr="002C52FF">
              <w:rPr>
                <w:rFonts w:asciiTheme="majorHAnsi" w:hAnsiTheme="majorHAnsi" w:cstheme="majorHAnsi"/>
              </w:rPr>
              <w:t>Company</w:t>
            </w:r>
          </w:p>
        </w:tc>
        <w:tc>
          <w:tcPr>
            <w:tcW w:w="1440" w:type="dxa"/>
          </w:tcPr>
          <w:p w14:paraId="69A3C14C" w14:textId="77777777" w:rsidR="00083A81" w:rsidRPr="002C52FF" w:rsidRDefault="005F05A1" w:rsidP="002C52FF">
            <w:pPr>
              <w:rPr>
                <w:rFonts w:asciiTheme="majorHAnsi" w:hAnsiTheme="majorHAnsi" w:cstheme="majorHAnsi"/>
              </w:rPr>
            </w:pPr>
            <w:r w:rsidRPr="002C52FF">
              <w:rPr>
                <w:rFonts w:asciiTheme="majorHAnsi" w:hAnsiTheme="majorHAnsi" w:cstheme="majorHAnsi"/>
              </w:rPr>
              <w:t>Revenue ($B)</w:t>
            </w:r>
          </w:p>
        </w:tc>
        <w:tc>
          <w:tcPr>
            <w:tcW w:w="1440" w:type="dxa"/>
          </w:tcPr>
          <w:p w14:paraId="4A3B756C" w14:textId="77777777" w:rsidR="00083A81" w:rsidRPr="002C52FF" w:rsidRDefault="005F05A1" w:rsidP="002C52FF">
            <w:pPr>
              <w:rPr>
                <w:rFonts w:asciiTheme="majorHAnsi" w:hAnsiTheme="majorHAnsi" w:cstheme="majorHAnsi"/>
              </w:rPr>
            </w:pPr>
            <w:r w:rsidRPr="002C52FF">
              <w:rPr>
                <w:rFonts w:asciiTheme="majorHAnsi" w:hAnsiTheme="majorHAnsi" w:cstheme="majorHAnsi"/>
              </w:rPr>
              <w:t>YoY Growth</w:t>
            </w:r>
          </w:p>
        </w:tc>
        <w:tc>
          <w:tcPr>
            <w:tcW w:w="1440" w:type="dxa"/>
          </w:tcPr>
          <w:p w14:paraId="661490E4" w14:textId="77777777" w:rsidR="00083A81" w:rsidRPr="002C52FF" w:rsidRDefault="005F05A1" w:rsidP="002C52FF">
            <w:pPr>
              <w:rPr>
                <w:rFonts w:asciiTheme="majorHAnsi" w:hAnsiTheme="majorHAnsi" w:cstheme="majorHAnsi"/>
              </w:rPr>
            </w:pPr>
            <w:r w:rsidRPr="002C52FF">
              <w:rPr>
                <w:rFonts w:asciiTheme="majorHAnsi" w:hAnsiTheme="majorHAnsi" w:cstheme="majorHAnsi"/>
              </w:rPr>
              <w:t>Net Income ($B)</w:t>
            </w:r>
          </w:p>
        </w:tc>
        <w:tc>
          <w:tcPr>
            <w:tcW w:w="1440" w:type="dxa"/>
          </w:tcPr>
          <w:p w14:paraId="3E0760CE" w14:textId="77777777" w:rsidR="00083A81" w:rsidRPr="002C52FF" w:rsidRDefault="005F05A1" w:rsidP="002C52FF">
            <w:pPr>
              <w:rPr>
                <w:rFonts w:asciiTheme="majorHAnsi" w:hAnsiTheme="majorHAnsi" w:cstheme="majorHAnsi"/>
              </w:rPr>
            </w:pPr>
            <w:r w:rsidRPr="002C52FF">
              <w:rPr>
                <w:rFonts w:asciiTheme="majorHAnsi" w:hAnsiTheme="majorHAnsi" w:cstheme="majorHAnsi"/>
              </w:rPr>
              <w:t>YoY Growth</w:t>
            </w:r>
          </w:p>
        </w:tc>
        <w:tc>
          <w:tcPr>
            <w:tcW w:w="1440" w:type="dxa"/>
          </w:tcPr>
          <w:p w14:paraId="3C19A0D8" w14:textId="77777777" w:rsidR="00083A81" w:rsidRPr="002C52FF" w:rsidRDefault="005F05A1" w:rsidP="002C52FF">
            <w:pPr>
              <w:rPr>
                <w:rFonts w:asciiTheme="majorHAnsi" w:hAnsiTheme="majorHAnsi" w:cstheme="majorHAnsi"/>
              </w:rPr>
            </w:pPr>
            <w:r w:rsidRPr="002C52FF">
              <w:rPr>
                <w:rFonts w:asciiTheme="majorHAnsi" w:hAnsiTheme="majorHAnsi" w:cstheme="majorHAnsi"/>
              </w:rPr>
              <w:t>Net Margin</w:t>
            </w:r>
          </w:p>
        </w:tc>
      </w:tr>
      <w:tr w:rsidR="00083A81" w:rsidRPr="002C52FF" w14:paraId="27EF033B" w14:textId="77777777">
        <w:tc>
          <w:tcPr>
            <w:tcW w:w="1440" w:type="dxa"/>
          </w:tcPr>
          <w:p w14:paraId="29B33BCA" w14:textId="77777777" w:rsidR="00083A81" w:rsidRPr="002C52FF" w:rsidRDefault="005F05A1" w:rsidP="002C52FF">
            <w:pPr>
              <w:rPr>
                <w:rFonts w:asciiTheme="majorHAnsi" w:hAnsiTheme="majorHAnsi" w:cstheme="majorHAnsi"/>
              </w:rPr>
            </w:pPr>
            <w:r w:rsidRPr="002C52FF">
              <w:rPr>
                <w:rFonts w:asciiTheme="majorHAnsi" w:hAnsiTheme="majorHAnsi" w:cstheme="majorHAnsi"/>
              </w:rPr>
              <w:t>Marriott</w:t>
            </w:r>
          </w:p>
        </w:tc>
        <w:tc>
          <w:tcPr>
            <w:tcW w:w="1440" w:type="dxa"/>
          </w:tcPr>
          <w:p w14:paraId="5C098514" w14:textId="77777777" w:rsidR="00083A81" w:rsidRPr="002C52FF" w:rsidRDefault="005F05A1" w:rsidP="002C52FF">
            <w:pPr>
              <w:rPr>
                <w:rFonts w:asciiTheme="majorHAnsi" w:hAnsiTheme="majorHAnsi" w:cstheme="majorHAnsi"/>
              </w:rPr>
            </w:pPr>
            <w:r w:rsidRPr="002C52FF">
              <w:rPr>
                <w:rFonts w:asciiTheme="majorHAnsi" w:hAnsiTheme="majorHAnsi" w:cstheme="majorHAnsi"/>
              </w:rPr>
              <w:t>25.39</w:t>
            </w:r>
          </w:p>
        </w:tc>
        <w:tc>
          <w:tcPr>
            <w:tcW w:w="1440" w:type="dxa"/>
          </w:tcPr>
          <w:p w14:paraId="74434227" w14:textId="77777777" w:rsidR="00083A81" w:rsidRPr="002C52FF" w:rsidRDefault="005F05A1" w:rsidP="002C52FF">
            <w:pPr>
              <w:rPr>
                <w:rFonts w:asciiTheme="majorHAnsi" w:hAnsiTheme="majorHAnsi" w:cstheme="majorHAnsi"/>
              </w:rPr>
            </w:pPr>
            <w:r w:rsidRPr="002C52FF">
              <w:rPr>
                <w:rFonts w:asciiTheme="majorHAnsi" w:hAnsiTheme="majorHAnsi" w:cstheme="majorHAnsi"/>
              </w:rPr>
              <w:t>+5.5%</w:t>
            </w:r>
          </w:p>
        </w:tc>
        <w:tc>
          <w:tcPr>
            <w:tcW w:w="1440" w:type="dxa"/>
          </w:tcPr>
          <w:p w14:paraId="534DD5F7" w14:textId="77777777" w:rsidR="00083A81" w:rsidRPr="002C52FF" w:rsidRDefault="005F05A1" w:rsidP="002C52FF">
            <w:pPr>
              <w:rPr>
                <w:rFonts w:asciiTheme="majorHAnsi" w:hAnsiTheme="majorHAnsi" w:cstheme="majorHAnsi"/>
              </w:rPr>
            </w:pPr>
            <w:r w:rsidRPr="002C52FF">
              <w:rPr>
                <w:rFonts w:asciiTheme="majorHAnsi" w:hAnsiTheme="majorHAnsi" w:cstheme="majorHAnsi"/>
              </w:rPr>
              <w:t>2.48</w:t>
            </w:r>
          </w:p>
        </w:tc>
        <w:tc>
          <w:tcPr>
            <w:tcW w:w="1440" w:type="dxa"/>
          </w:tcPr>
          <w:p w14:paraId="6C16520C" w14:textId="77777777" w:rsidR="00083A81" w:rsidRPr="002C52FF" w:rsidRDefault="005F05A1" w:rsidP="002C52FF">
            <w:pPr>
              <w:rPr>
                <w:rFonts w:asciiTheme="majorHAnsi" w:hAnsiTheme="majorHAnsi" w:cstheme="majorHAnsi"/>
              </w:rPr>
            </w:pPr>
            <w:r w:rsidRPr="002C52FF">
              <w:rPr>
                <w:rFonts w:asciiTheme="majorHAnsi" w:hAnsiTheme="majorHAnsi" w:cstheme="majorHAnsi"/>
              </w:rPr>
              <w:t>–14.3%</w:t>
            </w:r>
          </w:p>
        </w:tc>
        <w:tc>
          <w:tcPr>
            <w:tcW w:w="1440" w:type="dxa"/>
          </w:tcPr>
          <w:p w14:paraId="2F569716" w14:textId="77777777" w:rsidR="00083A81" w:rsidRPr="002C52FF" w:rsidRDefault="005F05A1" w:rsidP="002C52FF">
            <w:pPr>
              <w:rPr>
                <w:rFonts w:asciiTheme="majorHAnsi" w:hAnsiTheme="majorHAnsi" w:cstheme="majorHAnsi"/>
              </w:rPr>
            </w:pPr>
            <w:r w:rsidRPr="002C52FF">
              <w:rPr>
                <w:rFonts w:asciiTheme="majorHAnsi" w:hAnsiTheme="majorHAnsi" w:cstheme="majorHAnsi"/>
              </w:rPr>
              <w:t>~9.8%</w:t>
            </w:r>
          </w:p>
        </w:tc>
      </w:tr>
      <w:tr w:rsidR="00083A81" w:rsidRPr="002C52FF" w14:paraId="3989014F" w14:textId="77777777">
        <w:tc>
          <w:tcPr>
            <w:tcW w:w="1440" w:type="dxa"/>
          </w:tcPr>
          <w:p w14:paraId="175BB8EA" w14:textId="77777777" w:rsidR="00083A81" w:rsidRPr="002C52FF" w:rsidRDefault="005F05A1" w:rsidP="002C52FF">
            <w:pPr>
              <w:rPr>
                <w:rFonts w:asciiTheme="majorHAnsi" w:hAnsiTheme="majorHAnsi" w:cstheme="majorHAnsi"/>
              </w:rPr>
            </w:pPr>
            <w:r w:rsidRPr="002C52FF">
              <w:rPr>
                <w:rFonts w:asciiTheme="majorHAnsi" w:hAnsiTheme="majorHAnsi" w:cstheme="majorHAnsi"/>
              </w:rPr>
              <w:t>Hilton</w:t>
            </w:r>
          </w:p>
        </w:tc>
        <w:tc>
          <w:tcPr>
            <w:tcW w:w="1440" w:type="dxa"/>
          </w:tcPr>
          <w:p w14:paraId="34D1B19D" w14:textId="77777777" w:rsidR="00083A81" w:rsidRPr="002C52FF" w:rsidRDefault="005F05A1" w:rsidP="002C52FF">
            <w:pPr>
              <w:rPr>
                <w:rFonts w:asciiTheme="majorHAnsi" w:hAnsiTheme="majorHAnsi" w:cstheme="majorHAnsi"/>
              </w:rPr>
            </w:pPr>
            <w:r w:rsidRPr="002C52FF">
              <w:rPr>
                <w:rFonts w:asciiTheme="majorHAnsi" w:hAnsiTheme="majorHAnsi" w:cstheme="majorHAnsi"/>
              </w:rPr>
              <w:t>11.30</w:t>
            </w:r>
          </w:p>
        </w:tc>
        <w:tc>
          <w:tcPr>
            <w:tcW w:w="1440" w:type="dxa"/>
          </w:tcPr>
          <w:p w14:paraId="6B97AE3F" w14:textId="77777777" w:rsidR="00083A81" w:rsidRPr="002C52FF" w:rsidRDefault="005F05A1" w:rsidP="002C52FF">
            <w:pPr>
              <w:rPr>
                <w:rFonts w:asciiTheme="majorHAnsi" w:hAnsiTheme="majorHAnsi" w:cstheme="majorHAnsi"/>
              </w:rPr>
            </w:pPr>
            <w:r w:rsidRPr="002C52FF">
              <w:rPr>
                <w:rFonts w:asciiTheme="majorHAnsi" w:hAnsiTheme="majorHAnsi" w:cstheme="majorHAnsi"/>
              </w:rPr>
              <w:t>+7.4%</w:t>
            </w:r>
          </w:p>
        </w:tc>
        <w:tc>
          <w:tcPr>
            <w:tcW w:w="1440" w:type="dxa"/>
          </w:tcPr>
          <w:p w14:paraId="35049B67" w14:textId="77777777" w:rsidR="00083A81" w:rsidRPr="002C52FF" w:rsidRDefault="005F05A1" w:rsidP="002C52FF">
            <w:pPr>
              <w:rPr>
                <w:rFonts w:asciiTheme="majorHAnsi" w:hAnsiTheme="majorHAnsi" w:cstheme="majorHAnsi"/>
              </w:rPr>
            </w:pPr>
            <w:r w:rsidRPr="002C52FF">
              <w:rPr>
                <w:rFonts w:asciiTheme="majorHAnsi" w:hAnsiTheme="majorHAnsi" w:cstheme="majorHAnsi"/>
              </w:rPr>
              <w:t>1.57</w:t>
            </w:r>
          </w:p>
        </w:tc>
        <w:tc>
          <w:tcPr>
            <w:tcW w:w="1440" w:type="dxa"/>
          </w:tcPr>
          <w:p w14:paraId="0CCA8348" w14:textId="77777777" w:rsidR="00083A81" w:rsidRPr="002C52FF" w:rsidRDefault="005F05A1" w:rsidP="002C52FF">
            <w:pPr>
              <w:rPr>
                <w:rFonts w:asciiTheme="majorHAnsi" w:hAnsiTheme="majorHAnsi" w:cstheme="majorHAnsi"/>
              </w:rPr>
            </w:pPr>
            <w:r w:rsidRPr="002C52FF">
              <w:rPr>
                <w:rFonts w:asciiTheme="majorHAnsi" w:hAnsiTheme="majorHAnsi" w:cstheme="majorHAnsi"/>
              </w:rPr>
              <w:t>+30.8%</w:t>
            </w:r>
          </w:p>
        </w:tc>
        <w:tc>
          <w:tcPr>
            <w:tcW w:w="1440" w:type="dxa"/>
          </w:tcPr>
          <w:p w14:paraId="501B11DC" w14:textId="77777777" w:rsidR="00083A81" w:rsidRPr="002C52FF" w:rsidRDefault="005F05A1" w:rsidP="002C52FF">
            <w:pPr>
              <w:rPr>
                <w:rFonts w:asciiTheme="majorHAnsi" w:hAnsiTheme="majorHAnsi" w:cstheme="majorHAnsi"/>
              </w:rPr>
            </w:pPr>
            <w:r w:rsidRPr="002C52FF">
              <w:rPr>
                <w:rFonts w:asciiTheme="majorHAnsi" w:hAnsiTheme="majorHAnsi" w:cstheme="majorHAnsi"/>
              </w:rPr>
              <w:t>~13.9%</w:t>
            </w:r>
          </w:p>
        </w:tc>
      </w:tr>
      <w:tr w:rsidR="00083A81" w:rsidRPr="002C52FF" w14:paraId="6D6037C9" w14:textId="77777777">
        <w:tc>
          <w:tcPr>
            <w:tcW w:w="1440" w:type="dxa"/>
          </w:tcPr>
          <w:p w14:paraId="58040C1D" w14:textId="77777777" w:rsidR="00083A81" w:rsidRPr="002C52FF" w:rsidRDefault="005F05A1" w:rsidP="002C52FF">
            <w:pPr>
              <w:rPr>
                <w:rFonts w:asciiTheme="majorHAnsi" w:hAnsiTheme="majorHAnsi" w:cstheme="majorHAnsi"/>
              </w:rPr>
            </w:pPr>
            <w:r w:rsidRPr="002C52FF">
              <w:rPr>
                <w:rFonts w:asciiTheme="majorHAnsi" w:hAnsiTheme="majorHAnsi" w:cstheme="majorHAnsi"/>
              </w:rPr>
              <w:t>Hyatt</w:t>
            </w:r>
          </w:p>
        </w:tc>
        <w:tc>
          <w:tcPr>
            <w:tcW w:w="1440" w:type="dxa"/>
          </w:tcPr>
          <w:p w14:paraId="2E519B43" w14:textId="77777777" w:rsidR="00083A81" w:rsidRPr="002C52FF" w:rsidRDefault="005F05A1" w:rsidP="002C52FF">
            <w:pPr>
              <w:rPr>
                <w:rFonts w:asciiTheme="majorHAnsi" w:hAnsiTheme="majorHAnsi" w:cstheme="majorHAnsi"/>
              </w:rPr>
            </w:pPr>
            <w:r w:rsidRPr="002C52FF">
              <w:rPr>
                <w:rFonts w:asciiTheme="majorHAnsi" w:hAnsiTheme="majorHAnsi" w:cstheme="majorHAnsi"/>
              </w:rPr>
              <w:t>6.65</w:t>
            </w:r>
          </w:p>
        </w:tc>
        <w:tc>
          <w:tcPr>
            <w:tcW w:w="1440" w:type="dxa"/>
          </w:tcPr>
          <w:p w14:paraId="0BBE344E" w14:textId="77777777" w:rsidR="00083A81" w:rsidRPr="002C52FF" w:rsidRDefault="005F05A1" w:rsidP="002C52FF">
            <w:pPr>
              <w:rPr>
                <w:rFonts w:asciiTheme="majorHAnsi" w:hAnsiTheme="majorHAnsi" w:cstheme="majorHAnsi"/>
              </w:rPr>
            </w:pPr>
            <w:r w:rsidRPr="002C52FF">
              <w:rPr>
                <w:rFonts w:asciiTheme="majorHAnsi" w:hAnsiTheme="majorHAnsi" w:cstheme="majorHAnsi"/>
              </w:rPr>
              <w:t>—</w:t>
            </w:r>
          </w:p>
        </w:tc>
        <w:tc>
          <w:tcPr>
            <w:tcW w:w="1440" w:type="dxa"/>
          </w:tcPr>
          <w:p w14:paraId="1AE95B72" w14:textId="77777777" w:rsidR="00083A81" w:rsidRPr="002C52FF" w:rsidRDefault="005F05A1" w:rsidP="002C52FF">
            <w:pPr>
              <w:rPr>
                <w:rFonts w:asciiTheme="majorHAnsi" w:hAnsiTheme="majorHAnsi" w:cstheme="majorHAnsi"/>
              </w:rPr>
            </w:pPr>
            <w:r w:rsidRPr="002C52FF">
              <w:rPr>
                <w:rFonts w:asciiTheme="majorHAnsi" w:hAnsiTheme="majorHAnsi" w:cstheme="majorHAnsi"/>
              </w:rPr>
              <w:t>0.79</w:t>
            </w:r>
          </w:p>
        </w:tc>
        <w:tc>
          <w:tcPr>
            <w:tcW w:w="1440" w:type="dxa"/>
          </w:tcPr>
          <w:p w14:paraId="0565E65B" w14:textId="77777777" w:rsidR="00083A81" w:rsidRPr="002C52FF" w:rsidRDefault="005F05A1" w:rsidP="002C52FF">
            <w:pPr>
              <w:rPr>
                <w:rFonts w:asciiTheme="majorHAnsi" w:hAnsiTheme="majorHAnsi" w:cstheme="majorHAnsi"/>
              </w:rPr>
            </w:pPr>
            <w:r w:rsidRPr="002C52FF">
              <w:rPr>
                <w:rFonts w:asciiTheme="majorHAnsi" w:hAnsiTheme="majorHAnsi" w:cstheme="majorHAnsi"/>
              </w:rPr>
              <w:t>+16.1%</w:t>
            </w:r>
          </w:p>
        </w:tc>
        <w:tc>
          <w:tcPr>
            <w:tcW w:w="1440" w:type="dxa"/>
          </w:tcPr>
          <w:p w14:paraId="3142DE8B" w14:textId="77777777" w:rsidR="00083A81" w:rsidRPr="002C52FF" w:rsidRDefault="005F05A1" w:rsidP="002C52FF">
            <w:pPr>
              <w:rPr>
                <w:rFonts w:asciiTheme="majorHAnsi" w:hAnsiTheme="majorHAnsi" w:cstheme="majorHAnsi"/>
              </w:rPr>
            </w:pPr>
            <w:r w:rsidRPr="002C52FF">
              <w:rPr>
                <w:rFonts w:asciiTheme="majorHAnsi" w:hAnsiTheme="majorHAnsi" w:cstheme="majorHAnsi"/>
              </w:rPr>
              <w:t>~11.9%</w:t>
            </w:r>
          </w:p>
        </w:tc>
      </w:tr>
    </w:tbl>
    <w:p w14:paraId="6FBC596C" w14:textId="77777777" w:rsidR="002C52FF" w:rsidRDefault="002C52FF" w:rsidP="002C52FF">
      <w:pPr>
        <w:spacing w:after="0"/>
        <w:rPr>
          <w:rFonts w:asciiTheme="majorHAnsi" w:hAnsiTheme="majorHAnsi" w:cstheme="majorHAnsi"/>
          <w:b/>
          <w:bCs/>
        </w:rPr>
      </w:pPr>
    </w:p>
    <w:p w14:paraId="5018AA21" w14:textId="61AAC7B5" w:rsidR="00083A81" w:rsidRPr="002C52FF" w:rsidRDefault="005F05A1" w:rsidP="002C52FF">
      <w:pPr>
        <w:spacing w:after="0"/>
        <w:rPr>
          <w:rFonts w:asciiTheme="majorHAnsi" w:hAnsiTheme="majorHAnsi" w:cstheme="majorHAnsi"/>
        </w:rPr>
      </w:pPr>
      <w:r w:rsidRPr="002C52FF">
        <w:rPr>
          <w:rFonts w:asciiTheme="majorHAnsi" w:hAnsiTheme="majorHAnsi" w:cstheme="majorHAnsi"/>
          <w:b/>
          <w:bCs/>
        </w:rPr>
        <w:t>1. Revenue &amp; Scale</w:t>
      </w:r>
      <w:r w:rsidRPr="002C52FF">
        <w:rPr>
          <w:rFonts w:asciiTheme="majorHAnsi" w:hAnsiTheme="majorHAnsi" w:cstheme="majorHAnsi"/>
        </w:rPr>
        <w:br/>
        <w:t xml:space="preserve">Marriott leads with a significantly larger scale (~$25B), allowing strong bargaining power and global reach. Hilton follows (~$11B), demonstrating solid growth </w:t>
      </w:r>
      <w:r w:rsidRPr="002C52FF">
        <w:rPr>
          <w:rFonts w:asciiTheme="majorHAnsi" w:hAnsiTheme="majorHAnsi" w:cstheme="majorHAnsi"/>
        </w:rPr>
        <w:t>momentum. Hyatt, though smaller (~$6.65B), is showing consistent improvement.</w:t>
      </w:r>
    </w:p>
    <w:p w14:paraId="5D4393E5" w14:textId="77777777" w:rsidR="00083A81" w:rsidRPr="002C52FF" w:rsidRDefault="005F05A1" w:rsidP="002C52FF">
      <w:pPr>
        <w:spacing w:after="0"/>
        <w:rPr>
          <w:rFonts w:asciiTheme="majorHAnsi" w:hAnsiTheme="majorHAnsi" w:cstheme="majorHAnsi"/>
        </w:rPr>
      </w:pPr>
      <w:r w:rsidRPr="002C52FF">
        <w:rPr>
          <w:rFonts w:asciiTheme="majorHAnsi" w:hAnsiTheme="majorHAnsi" w:cstheme="majorHAnsi"/>
          <w:b/>
          <w:bCs/>
        </w:rPr>
        <w:t>2. Profitability Efficiency</w:t>
      </w:r>
      <w:r w:rsidRPr="002C52FF">
        <w:rPr>
          <w:rFonts w:asciiTheme="majorHAnsi" w:hAnsiTheme="majorHAnsi" w:cstheme="majorHAnsi"/>
        </w:rPr>
        <w:br/>
        <w:t>Net Margins: Hilton (~13.9%) &gt; Hyatt (~11.9%) &gt; Marriott (~9.8%). Hilton's higher margin underscores strong cost management and efficient operations.</w:t>
      </w:r>
    </w:p>
    <w:p w14:paraId="048DA537" w14:textId="77777777" w:rsidR="00083A81" w:rsidRPr="002C52FF" w:rsidRDefault="005F05A1" w:rsidP="002C52FF">
      <w:pPr>
        <w:spacing w:after="0"/>
        <w:rPr>
          <w:rFonts w:asciiTheme="majorHAnsi" w:hAnsiTheme="majorHAnsi" w:cstheme="majorHAnsi"/>
        </w:rPr>
      </w:pPr>
      <w:r w:rsidRPr="002C52FF">
        <w:rPr>
          <w:rFonts w:asciiTheme="majorHAnsi" w:hAnsiTheme="majorHAnsi" w:cstheme="majorHAnsi"/>
          <w:b/>
          <w:bCs/>
        </w:rPr>
        <w:t>3. Growth Trends &amp; Stability</w:t>
      </w:r>
      <w:r w:rsidRPr="002C52FF">
        <w:rPr>
          <w:rFonts w:asciiTheme="majorHAnsi" w:hAnsiTheme="majorHAnsi" w:cstheme="majorHAnsi"/>
        </w:rPr>
        <w:br/>
        <w:t>Marriott’s 14.3% net income decline reflects margin compression from rising labor, energy, and interest costs, as well as underperformance in specific regions like Greater China. Hilton experienced robust 30.8% net income growth, supported by strong business travel demand and favorable RevPAR trends. However, management recently tempered revenue outlook due to macroeconomic caution and tariff risks. Hyatt shows strong recovery (~16% net income growth) following volatility in 2023–24, fueled by strategic ex</w:t>
      </w:r>
      <w:r w:rsidRPr="002C52FF">
        <w:rPr>
          <w:rFonts w:asciiTheme="majorHAnsi" w:hAnsiTheme="majorHAnsi" w:cstheme="majorHAnsi"/>
        </w:rPr>
        <w:t>pansions and cost rationalization.</w:t>
      </w:r>
    </w:p>
    <w:p w14:paraId="4907ED78" w14:textId="77777777" w:rsidR="00083A81" w:rsidRPr="002C52FF" w:rsidRDefault="005F05A1" w:rsidP="002C52FF">
      <w:pPr>
        <w:spacing w:after="0"/>
        <w:rPr>
          <w:rFonts w:asciiTheme="majorHAnsi" w:hAnsiTheme="majorHAnsi" w:cstheme="majorHAnsi"/>
        </w:rPr>
      </w:pPr>
      <w:r w:rsidRPr="002C52FF">
        <w:rPr>
          <w:rFonts w:asciiTheme="majorHAnsi" w:hAnsiTheme="majorHAnsi" w:cstheme="majorHAnsi"/>
          <w:b/>
          <w:bCs/>
        </w:rPr>
        <w:t>4. Stock Valuation &amp; Market Sentiment</w:t>
      </w:r>
      <w:r w:rsidRPr="002C52FF">
        <w:rPr>
          <w:rFonts w:asciiTheme="majorHAnsi" w:hAnsiTheme="majorHAnsi" w:cstheme="majorHAnsi"/>
        </w:rPr>
        <w:br/>
        <w:t xml:space="preserve">Marriott trades at ~$260/share with a nearly 1% dividend yield and a 28% payout ratio. Hilton shares are around $249, with a P/E of ~35.6 and a modest dividend yield (~0.24%). Hyatt trades </w:t>
      </w:r>
      <w:r w:rsidRPr="002C52FF">
        <w:rPr>
          <w:rFonts w:asciiTheme="majorHAnsi" w:hAnsiTheme="majorHAnsi" w:cstheme="majorHAnsi"/>
        </w:rPr>
        <w:lastRenderedPageBreak/>
        <w:t>at $131.7, with strong revenue growth per share but weaker quarterly momentum (–8.8% YoY revenue growth).</w:t>
      </w:r>
    </w:p>
    <w:p w14:paraId="502E012A" w14:textId="77777777" w:rsidR="00083A81" w:rsidRPr="002C52FF" w:rsidRDefault="005F05A1" w:rsidP="002C52FF">
      <w:pPr>
        <w:spacing w:after="0"/>
        <w:rPr>
          <w:rFonts w:asciiTheme="majorHAnsi" w:hAnsiTheme="majorHAnsi" w:cstheme="majorHAnsi"/>
        </w:rPr>
      </w:pPr>
      <w:r w:rsidRPr="002C52FF">
        <w:rPr>
          <w:rFonts w:asciiTheme="majorHAnsi" w:hAnsiTheme="majorHAnsi" w:cstheme="majorHAnsi"/>
          <w:b/>
          <w:bCs/>
        </w:rPr>
        <w:t>5. Volatility &amp; Risk Factors</w:t>
      </w:r>
      <w:r w:rsidRPr="002C52FF">
        <w:rPr>
          <w:rFonts w:asciiTheme="majorHAnsi" w:hAnsiTheme="majorHAnsi" w:cstheme="majorHAnsi"/>
        </w:rPr>
        <w:br/>
        <w:t>Marriott recently cut its 2025 room revenue growth forecast and provided lower Q2 profit guidance, citing softer demand and China slowdown. Hilton trimmed RevPAR expectations due to macro uncertainty but is offset by a robust development pipeline and business travel demand. Hyatt experienced a Q4 earnings miss and a 9% stock drop; however, its acquisition of Playa Hotels signals strategic expansion amidst an asset-light model.</w:t>
      </w:r>
    </w:p>
    <w:p w14:paraId="73811DB0" w14:textId="1F2A118B" w:rsidR="00083A81" w:rsidRPr="002C52FF" w:rsidRDefault="005F05A1" w:rsidP="002C52FF">
      <w:pPr>
        <w:spacing w:after="0"/>
        <w:rPr>
          <w:rFonts w:asciiTheme="majorHAnsi" w:hAnsiTheme="majorHAnsi" w:cstheme="majorHAnsi"/>
        </w:rPr>
      </w:pPr>
      <w:r w:rsidRPr="002C52FF">
        <w:rPr>
          <w:rFonts w:asciiTheme="majorHAnsi" w:hAnsiTheme="majorHAnsi" w:cstheme="majorHAnsi"/>
          <w:b/>
          <w:bCs/>
        </w:rPr>
        <w:t>6. Future Prospects</w:t>
      </w:r>
      <w:r w:rsidRPr="002C52FF">
        <w:rPr>
          <w:rFonts w:asciiTheme="majorHAnsi" w:hAnsiTheme="majorHAnsi" w:cstheme="majorHAnsi"/>
        </w:rPr>
        <w:br/>
        <w:t>Marriott can stabilize margins through cost controls, regional mix optimization, and integration of new acquisitions (e.g., Citizen M). Hilton is well-positioned to leverage business travel recovery and international growth, provided macro headwinds remain manageable. Hyatt continues to capitalize on premium positioning and RevPAR strength, with expansion in resort and all-inclusive segments as key drivers</w:t>
      </w:r>
      <w:r w:rsidR="00BA518E" w:rsidRPr="002C52FF">
        <w:rPr>
          <w:rFonts w:asciiTheme="majorHAnsi" w:hAnsiTheme="majorHAnsi" w:cstheme="majorHAnsi"/>
        </w:rPr>
        <w:t>.</w:t>
      </w:r>
    </w:p>
    <w:p w14:paraId="4511D8DC" w14:textId="1134A4EE" w:rsidR="00055F39" w:rsidRPr="002C52FF" w:rsidRDefault="005F05A1" w:rsidP="002C52FF">
      <w:pPr>
        <w:spacing w:after="0"/>
        <w:rPr>
          <w:rFonts w:asciiTheme="majorHAnsi" w:hAnsiTheme="majorHAnsi" w:cstheme="majorHAnsi"/>
          <w:b/>
          <w:bCs/>
        </w:rPr>
      </w:pPr>
      <w:r w:rsidRPr="002C52FF">
        <w:rPr>
          <w:rFonts w:asciiTheme="majorHAnsi" w:hAnsiTheme="majorHAnsi" w:cstheme="majorHAnsi"/>
          <w:b/>
          <w:bCs/>
        </w:rPr>
        <w:t>Marriott dominates in scale but faces margin pressure and regional uncertainties. Hilton offers strong margin efficiency with solid growth, offset somewhat by macro risks. Hyatt, while smaller, shows high potential through strategic positioning and earnings momentum.</w:t>
      </w:r>
    </w:p>
    <w:p w14:paraId="17002BE9" w14:textId="77777777" w:rsidR="00C1359F" w:rsidRPr="002C52FF" w:rsidRDefault="00C1359F" w:rsidP="002C52FF">
      <w:pPr>
        <w:pStyle w:val="Heading2"/>
        <w:rPr>
          <w:rFonts w:cstheme="majorHAnsi"/>
          <w:sz w:val="22"/>
          <w:szCs w:val="22"/>
        </w:rPr>
      </w:pPr>
      <w:r w:rsidRPr="002C52FF">
        <w:rPr>
          <w:rFonts w:cstheme="majorHAnsi"/>
          <w:sz w:val="22"/>
          <w:szCs w:val="22"/>
        </w:rPr>
        <w:t>2. Automotive &amp; Renewable Energy</w:t>
      </w:r>
    </w:p>
    <w:p w14:paraId="7CA14762" w14:textId="77777777" w:rsidR="00C1359F" w:rsidRPr="002C52FF" w:rsidRDefault="00C1359F" w:rsidP="002C52FF">
      <w:pPr>
        <w:spacing w:after="0"/>
        <w:rPr>
          <w:rFonts w:asciiTheme="majorHAnsi" w:hAnsiTheme="majorHAnsi" w:cstheme="majorHAnsi"/>
        </w:rPr>
      </w:pPr>
      <w:r w:rsidRPr="002C52FF">
        <w:rPr>
          <w:rFonts w:asciiTheme="majorHAnsi" w:hAnsiTheme="majorHAnsi" w:cstheme="majorHAnsi"/>
        </w:rPr>
        <w:t>Companies: Tesla Inc., Lucid Motors, Rivian Automotive, NIO Inc.</w:t>
      </w:r>
    </w:p>
    <w:tbl>
      <w:tblPr>
        <w:tblStyle w:val="TableGrid"/>
        <w:tblW w:w="0" w:type="auto"/>
        <w:tblLook w:val="04A0" w:firstRow="1" w:lastRow="0" w:firstColumn="1" w:lastColumn="0" w:noHBand="0" w:noVBand="1"/>
      </w:tblPr>
      <w:tblGrid>
        <w:gridCol w:w="1041"/>
        <w:gridCol w:w="975"/>
        <w:gridCol w:w="975"/>
        <w:gridCol w:w="975"/>
        <w:gridCol w:w="975"/>
        <w:gridCol w:w="865"/>
        <w:gridCol w:w="865"/>
        <w:gridCol w:w="865"/>
        <w:gridCol w:w="1094"/>
      </w:tblGrid>
      <w:tr w:rsidR="00536C7B" w:rsidRPr="002C52FF" w14:paraId="6D0C97A5" w14:textId="77777777" w:rsidTr="00AA4511">
        <w:tc>
          <w:tcPr>
            <w:tcW w:w="960" w:type="dxa"/>
          </w:tcPr>
          <w:p w14:paraId="08EB2EAD"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Company</w:t>
            </w:r>
          </w:p>
        </w:tc>
        <w:tc>
          <w:tcPr>
            <w:tcW w:w="960" w:type="dxa"/>
          </w:tcPr>
          <w:p w14:paraId="416A635C"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2022 Revenue ($B)</w:t>
            </w:r>
          </w:p>
        </w:tc>
        <w:tc>
          <w:tcPr>
            <w:tcW w:w="960" w:type="dxa"/>
          </w:tcPr>
          <w:p w14:paraId="2972A953"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2023 Revenue ($B)</w:t>
            </w:r>
          </w:p>
        </w:tc>
        <w:tc>
          <w:tcPr>
            <w:tcW w:w="960" w:type="dxa"/>
          </w:tcPr>
          <w:p w14:paraId="2ED69405"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2024 Revenue ($B)</w:t>
            </w:r>
          </w:p>
        </w:tc>
        <w:tc>
          <w:tcPr>
            <w:tcW w:w="960" w:type="dxa"/>
          </w:tcPr>
          <w:p w14:paraId="78F94680"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2025 Revenue ($B, TTM)</w:t>
            </w:r>
          </w:p>
        </w:tc>
        <w:tc>
          <w:tcPr>
            <w:tcW w:w="960" w:type="dxa"/>
          </w:tcPr>
          <w:p w14:paraId="0E128FAB"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2022 Net Income ($B)</w:t>
            </w:r>
          </w:p>
        </w:tc>
        <w:tc>
          <w:tcPr>
            <w:tcW w:w="960" w:type="dxa"/>
          </w:tcPr>
          <w:p w14:paraId="791E4DA3"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2023 Net Income ($B)</w:t>
            </w:r>
          </w:p>
        </w:tc>
        <w:tc>
          <w:tcPr>
            <w:tcW w:w="960" w:type="dxa"/>
          </w:tcPr>
          <w:p w14:paraId="1A95611A"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2024 Net Income ($B)</w:t>
            </w:r>
          </w:p>
        </w:tc>
        <w:tc>
          <w:tcPr>
            <w:tcW w:w="960" w:type="dxa"/>
          </w:tcPr>
          <w:p w14:paraId="6FBAD1B9" w14:textId="44436476" w:rsidR="00536C7B" w:rsidRPr="002C52FF" w:rsidRDefault="00536C7B" w:rsidP="002C52FF">
            <w:pPr>
              <w:rPr>
                <w:rFonts w:asciiTheme="majorHAnsi" w:hAnsiTheme="majorHAnsi" w:cstheme="majorHAnsi"/>
              </w:rPr>
            </w:pPr>
            <w:r w:rsidRPr="002C52FF">
              <w:rPr>
                <w:rFonts w:asciiTheme="majorHAnsi" w:hAnsiTheme="majorHAnsi" w:cstheme="majorHAnsi"/>
              </w:rPr>
              <w:t>2025 Net Income ($</w:t>
            </w:r>
            <w:proofErr w:type="gramStart"/>
            <w:r w:rsidRPr="002C52FF">
              <w:rPr>
                <w:rFonts w:asciiTheme="majorHAnsi" w:hAnsiTheme="majorHAnsi" w:cstheme="majorHAnsi"/>
              </w:rPr>
              <w:t>B)</w:t>
            </w:r>
            <w:r w:rsidR="00836C4D">
              <w:rPr>
                <w:rFonts w:asciiTheme="majorHAnsi" w:hAnsiTheme="majorHAnsi" w:cstheme="majorHAnsi"/>
              </w:rPr>
              <w:t>(</w:t>
            </w:r>
            <w:proofErr w:type="gramEnd"/>
            <w:r w:rsidR="00836C4D">
              <w:rPr>
                <w:rFonts w:asciiTheme="majorHAnsi" w:hAnsiTheme="majorHAnsi" w:cstheme="majorHAnsi"/>
              </w:rPr>
              <w:t>TT</w:t>
            </w:r>
            <w:r w:rsidR="00B916DE">
              <w:rPr>
                <w:rFonts w:asciiTheme="majorHAnsi" w:hAnsiTheme="majorHAnsi" w:cstheme="majorHAnsi"/>
              </w:rPr>
              <w:t>M)</w:t>
            </w:r>
          </w:p>
        </w:tc>
      </w:tr>
      <w:tr w:rsidR="00536C7B" w:rsidRPr="002C52FF" w14:paraId="2BB23771" w14:textId="77777777" w:rsidTr="00AA4511">
        <w:tc>
          <w:tcPr>
            <w:tcW w:w="960" w:type="dxa"/>
          </w:tcPr>
          <w:p w14:paraId="17229572"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Tesla</w:t>
            </w:r>
          </w:p>
        </w:tc>
        <w:tc>
          <w:tcPr>
            <w:tcW w:w="960" w:type="dxa"/>
          </w:tcPr>
          <w:p w14:paraId="24CBFDAC"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81.5</w:t>
            </w:r>
          </w:p>
        </w:tc>
        <w:tc>
          <w:tcPr>
            <w:tcW w:w="960" w:type="dxa"/>
          </w:tcPr>
          <w:p w14:paraId="40CF7F5C"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96.8</w:t>
            </w:r>
          </w:p>
        </w:tc>
        <w:tc>
          <w:tcPr>
            <w:tcW w:w="960" w:type="dxa"/>
          </w:tcPr>
          <w:p w14:paraId="7355B806"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97.7</w:t>
            </w:r>
          </w:p>
        </w:tc>
        <w:tc>
          <w:tcPr>
            <w:tcW w:w="960" w:type="dxa"/>
          </w:tcPr>
          <w:p w14:paraId="3A81A296"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90.0</w:t>
            </w:r>
          </w:p>
        </w:tc>
        <w:tc>
          <w:tcPr>
            <w:tcW w:w="960" w:type="dxa"/>
          </w:tcPr>
          <w:p w14:paraId="1A471742"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12.6</w:t>
            </w:r>
          </w:p>
        </w:tc>
        <w:tc>
          <w:tcPr>
            <w:tcW w:w="960" w:type="dxa"/>
          </w:tcPr>
          <w:p w14:paraId="3453EC62"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10.6</w:t>
            </w:r>
          </w:p>
        </w:tc>
        <w:tc>
          <w:tcPr>
            <w:tcW w:w="960" w:type="dxa"/>
          </w:tcPr>
          <w:p w14:paraId="12A0484A"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7.15</w:t>
            </w:r>
          </w:p>
        </w:tc>
        <w:tc>
          <w:tcPr>
            <w:tcW w:w="960" w:type="dxa"/>
          </w:tcPr>
          <w:p w14:paraId="2A020CCF"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7.9</w:t>
            </w:r>
          </w:p>
        </w:tc>
      </w:tr>
      <w:tr w:rsidR="00536C7B" w:rsidRPr="002C52FF" w14:paraId="1C271392" w14:textId="77777777" w:rsidTr="00AA4511">
        <w:tc>
          <w:tcPr>
            <w:tcW w:w="960" w:type="dxa"/>
          </w:tcPr>
          <w:p w14:paraId="6F05C682"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Lucid</w:t>
            </w:r>
          </w:p>
        </w:tc>
        <w:tc>
          <w:tcPr>
            <w:tcW w:w="960" w:type="dxa"/>
          </w:tcPr>
          <w:p w14:paraId="4B9D6EF9"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0.26</w:t>
            </w:r>
          </w:p>
        </w:tc>
        <w:tc>
          <w:tcPr>
            <w:tcW w:w="960" w:type="dxa"/>
          </w:tcPr>
          <w:p w14:paraId="71B72923"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0.60</w:t>
            </w:r>
          </w:p>
        </w:tc>
        <w:tc>
          <w:tcPr>
            <w:tcW w:w="960" w:type="dxa"/>
          </w:tcPr>
          <w:p w14:paraId="1AB20606"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0.81</w:t>
            </w:r>
          </w:p>
        </w:tc>
        <w:tc>
          <w:tcPr>
            <w:tcW w:w="960" w:type="dxa"/>
          </w:tcPr>
          <w:p w14:paraId="3A9DD3A5"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0.55</w:t>
            </w:r>
          </w:p>
        </w:tc>
        <w:tc>
          <w:tcPr>
            <w:tcW w:w="960" w:type="dxa"/>
          </w:tcPr>
          <w:p w14:paraId="53CD3503"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-2.6</w:t>
            </w:r>
          </w:p>
        </w:tc>
        <w:tc>
          <w:tcPr>
            <w:tcW w:w="960" w:type="dxa"/>
          </w:tcPr>
          <w:p w14:paraId="0277864A"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-2.8</w:t>
            </w:r>
          </w:p>
        </w:tc>
        <w:tc>
          <w:tcPr>
            <w:tcW w:w="960" w:type="dxa"/>
          </w:tcPr>
          <w:p w14:paraId="3E678253"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-3.06</w:t>
            </w:r>
          </w:p>
        </w:tc>
        <w:tc>
          <w:tcPr>
            <w:tcW w:w="960" w:type="dxa"/>
          </w:tcPr>
          <w:p w14:paraId="23FF81E6"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-2.9</w:t>
            </w:r>
          </w:p>
        </w:tc>
      </w:tr>
      <w:tr w:rsidR="00536C7B" w:rsidRPr="002C52FF" w14:paraId="06E8B911" w14:textId="77777777" w:rsidTr="00AA4511">
        <w:tc>
          <w:tcPr>
            <w:tcW w:w="960" w:type="dxa"/>
          </w:tcPr>
          <w:p w14:paraId="222698AA"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Rivian</w:t>
            </w:r>
          </w:p>
        </w:tc>
        <w:tc>
          <w:tcPr>
            <w:tcW w:w="960" w:type="dxa"/>
          </w:tcPr>
          <w:p w14:paraId="3DBB7651"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1.6</w:t>
            </w:r>
          </w:p>
        </w:tc>
        <w:tc>
          <w:tcPr>
            <w:tcW w:w="960" w:type="dxa"/>
          </w:tcPr>
          <w:p w14:paraId="5BB6E2FB"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4.4</w:t>
            </w:r>
          </w:p>
        </w:tc>
        <w:tc>
          <w:tcPr>
            <w:tcW w:w="960" w:type="dxa"/>
          </w:tcPr>
          <w:p w14:paraId="122EA40F"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4.97</w:t>
            </w:r>
          </w:p>
        </w:tc>
        <w:tc>
          <w:tcPr>
            <w:tcW w:w="960" w:type="dxa"/>
          </w:tcPr>
          <w:p w14:paraId="22588401"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5.3</w:t>
            </w:r>
          </w:p>
        </w:tc>
        <w:tc>
          <w:tcPr>
            <w:tcW w:w="960" w:type="dxa"/>
          </w:tcPr>
          <w:p w14:paraId="38CCE8D0"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-6.8</w:t>
            </w:r>
          </w:p>
        </w:tc>
        <w:tc>
          <w:tcPr>
            <w:tcW w:w="960" w:type="dxa"/>
          </w:tcPr>
          <w:p w14:paraId="280C5439"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-5.4</w:t>
            </w:r>
          </w:p>
        </w:tc>
        <w:tc>
          <w:tcPr>
            <w:tcW w:w="960" w:type="dxa"/>
          </w:tcPr>
          <w:p w14:paraId="7C07CE51"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-4.7</w:t>
            </w:r>
          </w:p>
        </w:tc>
        <w:tc>
          <w:tcPr>
            <w:tcW w:w="960" w:type="dxa"/>
          </w:tcPr>
          <w:p w14:paraId="528301CB"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-5.0</w:t>
            </w:r>
          </w:p>
        </w:tc>
      </w:tr>
      <w:tr w:rsidR="00536C7B" w:rsidRPr="002C52FF" w14:paraId="37A18A13" w14:textId="77777777" w:rsidTr="00AA4511">
        <w:tc>
          <w:tcPr>
            <w:tcW w:w="960" w:type="dxa"/>
          </w:tcPr>
          <w:p w14:paraId="29107F5E"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NIO</w:t>
            </w:r>
          </w:p>
        </w:tc>
        <w:tc>
          <w:tcPr>
            <w:tcW w:w="960" w:type="dxa"/>
          </w:tcPr>
          <w:p w14:paraId="78F309D8"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5.7</w:t>
            </w:r>
          </w:p>
        </w:tc>
        <w:tc>
          <w:tcPr>
            <w:tcW w:w="960" w:type="dxa"/>
          </w:tcPr>
          <w:p w14:paraId="1ECD955D"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7.6</w:t>
            </w:r>
          </w:p>
        </w:tc>
        <w:tc>
          <w:tcPr>
            <w:tcW w:w="960" w:type="dxa"/>
          </w:tcPr>
          <w:p w14:paraId="4FE7C7DB"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9.01</w:t>
            </w:r>
          </w:p>
        </w:tc>
        <w:tc>
          <w:tcPr>
            <w:tcW w:w="960" w:type="dxa"/>
          </w:tcPr>
          <w:p w14:paraId="09EB09CF"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8.4</w:t>
            </w:r>
          </w:p>
        </w:tc>
        <w:tc>
          <w:tcPr>
            <w:tcW w:w="960" w:type="dxa"/>
          </w:tcPr>
          <w:p w14:paraId="18E3F73C"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-2.1</w:t>
            </w:r>
          </w:p>
        </w:tc>
        <w:tc>
          <w:tcPr>
            <w:tcW w:w="960" w:type="dxa"/>
          </w:tcPr>
          <w:p w14:paraId="7C9072A3"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-2.1</w:t>
            </w:r>
          </w:p>
        </w:tc>
        <w:tc>
          <w:tcPr>
            <w:tcW w:w="960" w:type="dxa"/>
          </w:tcPr>
          <w:p w14:paraId="4C8AE01C"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-3.07</w:t>
            </w:r>
          </w:p>
        </w:tc>
        <w:tc>
          <w:tcPr>
            <w:tcW w:w="960" w:type="dxa"/>
          </w:tcPr>
          <w:p w14:paraId="06C4669F"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-1.7</w:t>
            </w:r>
          </w:p>
        </w:tc>
      </w:tr>
    </w:tbl>
    <w:p w14:paraId="6F6B7818" w14:textId="77777777" w:rsidR="00536C7B" w:rsidRPr="002C52FF" w:rsidRDefault="00536C7B" w:rsidP="002C52FF">
      <w:pPr>
        <w:spacing w:after="0"/>
        <w:rPr>
          <w:rFonts w:asciiTheme="majorHAnsi" w:hAnsiTheme="majorHAnsi" w:cstheme="majorHAnsi"/>
        </w:rPr>
      </w:pPr>
    </w:p>
    <w:p w14:paraId="798C91D9" w14:textId="1C5E6224" w:rsidR="00C1359F" w:rsidRPr="002C52FF" w:rsidRDefault="00C1359F" w:rsidP="002C52FF">
      <w:pPr>
        <w:spacing w:after="0"/>
        <w:rPr>
          <w:rFonts w:asciiTheme="majorHAnsi" w:hAnsiTheme="majorHAnsi" w:cstheme="majorHAnsi"/>
        </w:rPr>
      </w:pPr>
      <w:r w:rsidRPr="002C52FF">
        <w:rPr>
          <w:rFonts w:asciiTheme="majorHAnsi" w:hAnsiTheme="majorHAnsi" w:cstheme="majorHAnsi"/>
        </w:rPr>
        <w:t>Tesla remains the dominant and only profitable player in this group, although its profitability has declined in 2025, possibly due to pricing pressures or increased investment. The other EV companies are still operating at a loss, reflecting the capital-intensive nature of the industry and early-stage growth status. However, they are showing consistent revenue growth, especially Rivian and NIO.</w:t>
      </w:r>
    </w:p>
    <w:p w14:paraId="09019283" w14:textId="77777777" w:rsidR="00987929" w:rsidRPr="002C52FF" w:rsidRDefault="00987929" w:rsidP="002C52FF">
      <w:pPr>
        <w:spacing w:after="0"/>
        <w:rPr>
          <w:rFonts w:asciiTheme="majorHAnsi" w:hAnsiTheme="majorHAnsi" w:cstheme="majorHAnsi"/>
        </w:rPr>
      </w:pPr>
    </w:p>
    <w:p w14:paraId="05E6B90A" w14:textId="77777777" w:rsidR="00055F39" w:rsidRPr="002C52FF" w:rsidRDefault="00055F39" w:rsidP="002C52FF">
      <w:pPr>
        <w:pStyle w:val="Heading2"/>
        <w:rPr>
          <w:rFonts w:cstheme="majorHAnsi"/>
          <w:sz w:val="22"/>
          <w:szCs w:val="22"/>
        </w:rPr>
      </w:pPr>
      <w:r w:rsidRPr="002C52FF">
        <w:rPr>
          <w:rFonts w:cstheme="majorHAnsi"/>
          <w:sz w:val="22"/>
          <w:szCs w:val="22"/>
        </w:rPr>
        <w:t>Financial Metrics (TTM as of March 31, 2025)</w:t>
      </w:r>
    </w:p>
    <w:tbl>
      <w:tblPr>
        <w:tblStyle w:val="TableGrid"/>
        <w:tblW w:w="0" w:type="auto"/>
        <w:tblLook w:val="04A0" w:firstRow="1" w:lastRow="0" w:firstColumn="1" w:lastColumn="0" w:noHBand="0" w:noVBand="1"/>
      </w:tblPr>
      <w:tblGrid>
        <w:gridCol w:w="1439"/>
        <w:gridCol w:w="1438"/>
        <w:gridCol w:w="1438"/>
        <w:gridCol w:w="1438"/>
        <w:gridCol w:w="1438"/>
        <w:gridCol w:w="1439"/>
      </w:tblGrid>
      <w:tr w:rsidR="00055F39" w:rsidRPr="002C52FF" w14:paraId="216F7525" w14:textId="77777777" w:rsidTr="00AA4511">
        <w:tc>
          <w:tcPr>
            <w:tcW w:w="1440" w:type="dxa"/>
          </w:tcPr>
          <w:p w14:paraId="7F556927" w14:textId="77777777" w:rsidR="00055F39" w:rsidRPr="002C52FF" w:rsidRDefault="00055F39" w:rsidP="002C52FF">
            <w:pPr>
              <w:rPr>
                <w:rFonts w:asciiTheme="majorHAnsi" w:hAnsiTheme="majorHAnsi" w:cstheme="majorHAnsi"/>
              </w:rPr>
            </w:pPr>
            <w:r w:rsidRPr="002C52FF">
              <w:rPr>
                <w:rFonts w:asciiTheme="majorHAnsi" w:hAnsiTheme="majorHAnsi" w:cstheme="majorHAnsi"/>
              </w:rPr>
              <w:t>Company</w:t>
            </w:r>
          </w:p>
        </w:tc>
        <w:tc>
          <w:tcPr>
            <w:tcW w:w="1440" w:type="dxa"/>
          </w:tcPr>
          <w:p w14:paraId="0AB00A09" w14:textId="77777777" w:rsidR="00055F39" w:rsidRPr="002C52FF" w:rsidRDefault="00055F39" w:rsidP="002C52FF">
            <w:pPr>
              <w:rPr>
                <w:rFonts w:asciiTheme="majorHAnsi" w:hAnsiTheme="majorHAnsi" w:cstheme="majorHAnsi"/>
              </w:rPr>
            </w:pPr>
            <w:r w:rsidRPr="002C52FF">
              <w:rPr>
                <w:rFonts w:asciiTheme="majorHAnsi" w:hAnsiTheme="majorHAnsi" w:cstheme="majorHAnsi"/>
              </w:rPr>
              <w:t>Revenue ($B)</w:t>
            </w:r>
          </w:p>
        </w:tc>
        <w:tc>
          <w:tcPr>
            <w:tcW w:w="1440" w:type="dxa"/>
          </w:tcPr>
          <w:p w14:paraId="1E7DC154" w14:textId="77777777" w:rsidR="00055F39" w:rsidRPr="002C52FF" w:rsidRDefault="00055F39" w:rsidP="002C52FF">
            <w:pPr>
              <w:rPr>
                <w:rFonts w:asciiTheme="majorHAnsi" w:hAnsiTheme="majorHAnsi" w:cstheme="majorHAnsi"/>
              </w:rPr>
            </w:pPr>
            <w:r w:rsidRPr="002C52FF">
              <w:rPr>
                <w:rFonts w:asciiTheme="majorHAnsi" w:hAnsiTheme="majorHAnsi" w:cstheme="majorHAnsi"/>
              </w:rPr>
              <w:t>YoY Growth</w:t>
            </w:r>
          </w:p>
        </w:tc>
        <w:tc>
          <w:tcPr>
            <w:tcW w:w="1440" w:type="dxa"/>
          </w:tcPr>
          <w:p w14:paraId="596E86FC" w14:textId="77777777" w:rsidR="00055F39" w:rsidRPr="002C52FF" w:rsidRDefault="00055F39" w:rsidP="002C52FF">
            <w:pPr>
              <w:rPr>
                <w:rFonts w:asciiTheme="majorHAnsi" w:hAnsiTheme="majorHAnsi" w:cstheme="majorHAnsi"/>
              </w:rPr>
            </w:pPr>
            <w:r w:rsidRPr="002C52FF">
              <w:rPr>
                <w:rFonts w:asciiTheme="majorHAnsi" w:hAnsiTheme="majorHAnsi" w:cstheme="majorHAnsi"/>
              </w:rPr>
              <w:t>Net Income ($B)</w:t>
            </w:r>
          </w:p>
        </w:tc>
        <w:tc>
          <w:tcPr>
            <w:tcW w:w="1440" w:type="dxa"/>
          </w:tcPr>
          <w:p w14:paraId="003D58BA" w14:textId="77777777" w:rsidR="00055F39" w:rsidRPr="002C52FF" w:rsidRDefault="00055F39" w:rsidP="002C52FF">
            <w:pPr>
              <w:rPr>
                <w:rFonts w:asciiTheme="majorHAnsi" w:hAnsiTheme="majorHAnsi" w:cstheme="majorHAnsi"/>
              </w:rPr>
            </w:pPr>
            <w:r w:rsidRPr="002C52FF">
              <w:rPr>
                <w:rFonts w:asciiTheme="majorHAnsi" w:hAnsiTheme="majorHAnsi" w:cstheme="majorHAnsi"/>
              </w:rPr>
              <w:t>YoY Growth</w:t>
            </w:r>
          </w:p>
        </w:tc>
        <w:tc>
          <w:tcPr>
            <w:tcW w:w="1440" w:type="dxa"/>
          </w:tcPr>
          <w:p w14:paraId="4C818F9E" w14:textId="77777777" w:rsidR="00055F39" w:rsidRPr="002C52FF" w:rsidRDefault="00055F39" w:rsidP="002C52FF">
            <w:pPr>
              <w:rPr>
                <w:rFonts w:asciiTheme="majorHAnsi" w:hAnsiTheme="majorHAnsi" w:cstheme="majorHAnsi"/>
              </w:rPr>
            </w:pPr>
            <w:r w:rsidRPr="002C52FF">
              <w:rPr>
                <w:rFonts w:asciiTheme="majorHAnsi" w:hAnsiTheme="majorHAnsi" w:cstheme="majorHAnsi"/>
              </w:rPr>
              <w:t>Net Margin</w:t>
            </w:r>
          </w:p>
        </w:tc>
      </w:tr>
      <w:tr w:rsidR="00055F39" w:rsidRPr="002C52FF" w14:paraId="41B4365F" w14:textId="77777777" w:rsidTr="00AA4511">
        <w:tc>
          <w:tcPr>
            <w:tcW w:w="1440" w:type="dxa"/>
          </w:tcPr>
          <w:p w14:paraId="4BEDDF03" w14:textId="77777777" w:rsidR="00055F39" w:rsidRPr="002C52FF" w:rsidRDefault="00055F39" w:rsidP="002C52FF">
            <w:pPr>
              <w:rPr>
                <w:rFonts w:asciiTheme="majorHAnsi" w:hAnsiTheme="majorHAnsi" w:cstheme="majorHAnsi"/>
              </w:rPr>
            </w:pPr>
            <w:r w:rsidRPr="002C52FF">
              <w:rPr>
                <w:rFonts w:asciiTheme="majorHAnsi" w:hAnsiTheme="majorHAnsi" w:cstheme="majorHAnsi"/>
              </w:rPr>
              <w:t>Tesla</w:t>
            </w:r>
          </w:p>
        </w:tc>
        <w:tc>
          <w:tcPr>
            <w:tcW w:w="1440" w:type="dxa"/>
          </w:tcPr>
          <w:p w14:paraId="7F91565F" w14:textId="77777777" w:rsidR="00055F39" w:rsidRPr="002C52FF" w:rsidRDefault="00055F39" w:rsidP="002C52FF">
            <w:pPr>
              <w:rPr>
                <w:rFonts w:asciiTheme="majorHAnsi" w:hAnsiTheme="majorHAnsi" w:cstheme="majorHAnsi"/>
              </w:rPr>
            </w:pPr>
            <w:r w:rsidRPr="002C52FF">
              <w:rPr>
                <w:rFonts w:asciiTheme="majorHAnsi" w:hAnsiTheme="majorHAnsi" w:cstheme="majorHAnsi"/>
              </w:rPr>
              <w:t>90.0</w:t>
            </w:r>
          </w:p>
        </w:tc>
        <w:tc>
          <w:tcPr>
            <w:tcW w:w="1440" w:type="dxa"/>
          </w:tcPr>
          <w:p w14:paraId="05AB6404" w14:textId="77777777" w:rsidR="00055F39" w:rsidRPr="002C52FF" w:rsidRDefault="00055F39" w:rsidP="002C52FF">
            <w:pPr>
              <w:rPr>
                <w:rFonts w:asciiTheme="majorHAnsi" w:hAnsiTheme="majorHAnsi" w:cstheme="majorHAnsi"/>
              </w:rPr>
            </w:pPr>
            <w:r w:rsidRPr="002C52FF">
              <w:rPr>
                <w:rFonts w:asciiTheme="majorHAnsi" w:hAnsiTheme="majorHAnsi" w:cstheme="majorHAnsi"/>
              </w:rPr>
              <w:t>+8.0%</w:t>
            </w:r>
          </w:p>
        </w:tc>
        <w:tc>
          <w:tcPr>
            <w:tcW w:w="1440" w:type="dxa"/>
          </w:tcPr>
          <w:p w14:paraId="1B289757" w14:textId="77777777" w:rsidR="00055F39" w:rsidRPr="002C52FF" w:rsidRDefault="00055F39" w:rsidP="002C52FF">
            <w:pPr>
              <w:rPr>
                <w:rFonts w:asciiTheme="majorHAnsi" w:hAnsiTheme="majorHAnsi" w:cstheme="majorHAnsi"/>
              </w:rPr>
            </w:pPr>
            <w:r w:rsidRPr="002C52FF">
              <w:rPr>
                <w:rFonts w:asciiTheme="majorHAnsi" w:hAnsiTheme="majorHAnsi" w:cstheme="majorHAnsi"/>
              </w:rPr>
              <w:t>7.9</w:t>
            </w:r>
          </w:p>
        </w:tc>
        <w:tc>
          <w:tcPr>
            <w:tcW w:w="1440" w:type="dxa"/>
          </w:tcPr>
          <w:p w14:paraId="7F42ACAF" w14:textId="77777777" w:rsidR="00055F39" w:rsidRPr="002C52FF" w:rsidRDefault="00055F39" w:rsidP="002C52FF">
            <w:pPr>
              <w:rPr>
                <w:rFonts w:asciiTheme="majorHAnsi" w:hAnsiTheme="majorHAnsi" w:cstheme="majorHAnsi"/>
              </w:rPr>
            </w:pPr>
            <w:r w:rsidRPr="002C52FF">
              <w:rPr>
                <w:rFonts w:asciiTheme="majorHAnsi" w:hAnsiTheme="majorHAnsi" w:cstheme="majorHAnsi"/>
              </w:rPr>
              <w:t>–25.5%</w:t>
            </w:r>
          </w:p>
        </w:tc>
        <w:tc>
          <w:tcPr>
            <w:tcW w:w="1440" w:type="dxa"/>
          </w:tcPr>
          <w:p w14:paraId="3BE7ABBD" w14:textId="77777777" w:rsidR="00055F39" w:rsidRPr="002C52FF" w:rsidRDefault="00055F39" w:rsidP="002C52FF">
            <w:pPr>
              <w:rPr>
                <w:rFonts w:asciiTheme="majorHAnsi" w:hAnsiTheme="majorHAnsi" w:cstheme="majorHAnsi"/>
              </w:rPr>
            </w:pPr>
            <w:r w:rsidRPr="002C52FF">
              <w:rPr>
                <w:rFonts w:asciiTheme="majorHAnsi" w:hAnsiTheme="majorHAnsi" w:cstheme="majorHAnsi"/>
              </w:rPr>
              <w:t>~8.8%</w:t>
            </w:r>
          </w:p>
        </w:tc>
      </w:tr>
      <w:tr w:rsidR="00055F39" w:rsidRPr="002C52FF" w14:paraId="71C26297" w14:textId="77777777" w:rsidTr="00AA4511">
        <w:tc>
          <w:tcPr>
            <w:tcW w:w="1440" w:type="dxa"/>
          </w:tcPr>
          <w:p w14:paraId="3996A3A4" w14:textId="77777777" w:rsidR="00055F39" w:rsidRPr="002C52FF" w:rsidRDefault="00055F39" w:rsidP="002C52FF">
            <w:pPr>
              <w:rPr>
                <w:rFonts w:asciiTheme="majorHAnsi" w:hAnsiTheme="majorHAnsi" w:cstheme="majorHAnsi"/>
              </w:rPr>
            </w:pPr>
            <w:r w:rsidRPr="002C52FF">
              <w:rPr>
                <w:rFonts w:asciiTheme="majorHAnsi" w:hAnsiTheme="majorHAnsi" w:cstheme="majorHAnsi"/>
              </w:rPr>
              <w:t>Lucid</w:t>
            </w:r>
          </w:p>
        </w:tc>
        <w:tc>
          <w:tcPr>
            <w:tcW w:w="1440" w:type="dxa"/>
          </w:tcPr>
          <w:p w14:paraId="6310AF34" w14:textId="77777777" w:rsidR="00055F39" w:rsidRPr="002C52FF" w:rsidRDefault="00055F39" w:rsidP="002C52FF">
            <w:pPr>
              <w:rPr>
                <w:rFonts w:asciiTheme="majorHAnsi" w:hAnsiTheme="majorHAnsi" w:cstheme="majorHAnsi"/>
              </w:rPr>
            </w:pPr>
            <w:r w:rsidRPr="002C52FF">
              <w:rPr>
                <w:rFonts w:asciiTheme="majorHAnsi" w:hAnsiTheme="majorHAnsi" w:cstheme="majorHAnsi"/>
              </w:rPr>
              <w:t>0.55</w:t>
            </w:r>
          </w:p>
        </w:tc>
        <w:tc>
          <w:tcPr>
            <w:tcW w:w="1440" w:type="dxa"/>
          </w:tcPr>
          <w:p w14:paraId="121E5BEC" w14:textId="77777777" w:rsidR="00055F39" w:rsidRPr="002C52FF" w:rsidRDefault="00055F39" w:rsidP="002C52FF">
            <w:pPr>
              <w:rPr>
                <w:rFonts w:asciiTheme="majorHAnsi" w:hAnsiTheme="majorHAnsi" w:cstheme="majorHAnsi"/>
              </w:rPr>
            </w:pPr>
            <w:r w:rsidRPr="002C52FF">
              <w:rPr>
                <w:rFonts w:asciiTheme="majorHAnsi" w:hAnsiTheme="majorHAnsi" w:cstheme="majorHAnsi"/>
              </w:rPr>
              <w:t>-8.3%</w:t>
            </w:r>
          </w:p>
        </w:tc>
        <w:tc>
          <w:tcPr>
            <w:tcW w:w="1440" w:type="dxa"/>
          </w:tcPr>
          <w:p w14:paraId="31B93424" w14:textId="77777777" w:rsidR="00055F39" w:rsidRPr="002C52FF" w:rsidRDefault="00055F39" w:rsidP="002C52FF">
            <w:pPr>
              <w:rPr>
                <w:rFonts w:asciiTheme="majorHAnsi" w:hAnsiTheme="majorHAnsi" w:cstheme="majorHAnsi"/>
              </w:rPr>
            </w:pPr>
            <w:r w:rsidRPr="002C52FF">
              <w:rPr>
                <w:rFonts w:asciiTheme="majorHAnsi" w:hAnsiTheme="majorHAnsi" w:cstheme="majorHAnsi"/>
              </w:rPr>
              <w:t>-2.9</w:t>
            </w:r>
          </w:p>
        </w:tc>
        <w:tc>
          <w:tcPr>
            <w:tcW w:w="1440" w:type="dxa"/>
          </w:tcPr>
          <w:p w14:paraId="291226E4" w14:textId="77777777" w:rsidR="00055F39" w:rsidRPr="002C52FF" w:rsidRDefault="00055F39" w:rsidP="002C52FF">
            <w:pPr>
              <w:rPr>
                <w:rFonts w:asciiTheme="majorHAnsi" w:hAnsiTheme="majorHAnsi" w:cstheme="majorHAnsi"/>
              </w:rPr>
            </w:pPr>
            <w:r w:rsidRPr="002C52FF">
              <w:rPr>
                <w:rFonts w:asciiTheme="majorHAnsi" w:hAnsiTheme="majorHAnsi" w:cstheme="majorHAnsi"/>
              </w:rPr>
              <w:t>—</w:t>
            </w:r>
          </w:p>
        </w:tc>
        <w:tc>
          <w:tcPr>
            <w:tcW w:w="1440" w:type="dxa"/>
          </w:tcPr>
          <w:p w14:paraId="386ABC30" w14:textId="77777777" w:rsidR="00055F39" w:rsidRPr="002C52FF" w:rsidRDefault="00055F39" w:rsidP="002C52FF">
            <w:pPr>
              <w:rPr>
                <w:rFonts w:asciiTheme="majorHAnsi" w:hAnsiTheme="majorHAnsi" w:cstheme="majorHAnsi"/>
              </w:rPr>
            </w:pPr>
            <w:r w:rsidRPr="002C52FF">
              <w:rPr>
                <w:rFonts w:asciiTheme="majorHAnsi" w:hAnsiTheme="majorHAnsi" w:cstheme="majorHAnsi"/>
              </w:rPr>
              <w:t>Negative</w:t>
            </w:r>
          </w:p>
        </w:tc>
      </w:tr>
      <w:tr w:rsidR="00055F39" w:rsidRPr="002C52FF" w14:paraId="38F5819A" w14:textId="77777777" w:rsidTr="00AA4511">
        <w:tc>
          <w:tcPr>
            <w:tcW w:w="1440" w:type="dxa"/>
          </w:tcPr>
          <w:p w14:paraId="494D1CF0" w14:textId="77777777" w:rsidR="00055F39" w:rsidRPr="002C52FF" w:rsidRDefault="00055F39" w:rsidP="002C52FF">
            <w:pPr>
              <w:rPr>
                <w:rFonts w:asciiTheme="majorHAnsi" w:hAnsiTheme="majorHAnsi" w:cstheme="majorHAnsi"/>
              </w:rPr>
            </w:pPr>
            <w:r w:rsidRPr="002C52FF">
              <w:rPr>
                <w:rFonts w:asciiTheme="majorHAnsi" w:hAnsiTheme="majorHAnsi" w:cstheme="majorHAnsi"/>
              </w:rPr>
              <w:t>Rivian</w:t>
            </w:r>
          </w:p>
        </w:tc>
        <w:tc>
          <w:tcPr>
            <w:tcW w:w="1440" w:type="dxa"/>
          </w:tcPr>
          <w:p w14:paraId="2E5BF430" w14:textId="77777777" w:rsidR="00055F39" w:rsidRPr="002C52FF" w:rsidRDefault="00055F39" w:rsidP="002C52FF">
            <w:pPr>
              <w:rPr>
                <w:rFonts w:asciiTheme="majorHAnsi" w:hAnsiTheme="majorHAnsi" w:cstheme="majorHAnsi"/>
              </w:rPr>
            </w:pPr>
            <w:r w:rsidRPr="002C52FF">
              <w:rPr>
                <w:rFonts w:asciiTheme="majorHAnsi" w:hAnsiTheme="majorHAnsi" w:cstheme="majorHAnsi"/>
              </w:rPr>
              <w:t>5.3</w:t>
            </w:r>
          </w:p>
        </w:tc>
        <w:tc>
          <w:tcPr>
            <w:tcW w:w="1440" w:type="dxa"/>
          </w:tcPr>
          <w:p w14:paraId="18B3967A" w14:textId="77777777" w:rsidR="00055F39" w:rsidRPr="002C52FF" w:rsidRDefault="00055F39" w:rsidP="002C52FF">
            <w:pPr>
              <w:rPr>
                <w:rFonts w:asciiTheme="majorHAnsi" w:hAnsiTheme="majorHAnsi" w:cstheme="majorHAnsi"/>
              </w:rPr>
            </w:pPr>
            <w:r w:rsidRPr="002C52FF">
              <w:rPr>
                <w:rFonts w:asciiTheme="majorHAnsi" w:hAnsiTheme="majorHAnsi" w:cstheme="majorHAnsi"/>
              </w:rPr>
              <w:t>+20.4%</w:t>
            </w:r>
          </w:p>
        </w:tc>
        <w:tc>
          <w:tcPr>
            <w:tcW w:w="1440" w:type="dxa"/>
          </w:tcPr>
          <w:p w14:paraId="3CA09346" w14:textId="77777777" w:rsidR="00055F39" w:rsidRPr="002C52FF" w:rsidRDefault="00055F39" w:rsidP="002C52FF">
            <w:pPr>
              <w:rPr>
                <w:rFonts w:asciiTheme="majorHAnsi" w:hAnsiTheme="majorHAnsi" w:cstheme="majorHAnsi"/>
              </w:rPr>
            </w:pPr>
            <w:r w:rsidRPr="002C52FF">
              <w:rPr>
                <w:rFonts w:asciiTheme="majorHAnsi" w:hAnsiTheme="majorHAnsi" w:cstheme="majorHAnsi"/>
              </w:rPr>
              <w:t>-5.0</w:t>
            </w:r>
          </w:p>
        </w:tc>
        <w:tc>
          <w:tcPr>
            <w:tcW w:w="1440" w:type="dxa"/>
          </w:tcPr>
          <w:p w14:paraId="773EACCF" w14:textId="77777777" w:rsidR="00055F39" w:rsidRPr="002C52FF" w:rsidRDefault="00055F39" w:rsidP="002C52FF">
            <w:pPr>
              <w:rPr>
                <w:rFonts w:asciiTheme="majorHAnsi" w:hAnsiTheme="majorHAnsi" w:cstheme="majorHAnsi"/>
              </w:rPr>
            </w:pPr>
            <w:r w:rsidRPr="002C52FF">
              <w:rPr>
                <w:rFonts w:asciiTheme="majorHAnsi" w:hAnsiTheme="majorHAnsi" w:cstheme="majorHAnsi"/>
              </w:rPr>
              <w:t>—</w:t>
            </w:r>
          </w:p>
        </w:tc>
        <w:tc>
          <w:tcPr>
            <w:tcW w:w="1440" w:type="dxa"/>
          </w:tcPr>
          <w:p w14:paraId="3A786CDF" w14:textId="77777777" w:rsidR="00055F39" w:rsidRPr="002C52FF" w:rsidRDefault="00055F39" w:rsidP="002C52FF">
            <w:pPr>
              <w:rPr>
                <w:rFonts w:asciiTheme="majorHAnsi" w:hAnsiTheme="majorHAnsi" w:cstheme="majorHAnsi"/>
              </w:rPr>
            </w:pPr>
            <w:r w:rsidRPr="002C52FF">
              <w:rPr>
                <w:rFonts w:asciiTheme="majorHAnsi" w:hAnsiTheme="majorHAnsi" w:cstheme="majorHAnsi"/>
              </w:rPr>
              <w:t>Negative</w:t>
            </w:r>
          </w:p>
        </w:tc>
      </w:tr>
      <w:tr w:rsidR="00055F39" w:rsidRPr="002C52FF" w14:paraId="4CE4C2F4" w14:textId="77777777" w:rsidTr="00AA4511">
        <w:tc>
          <w:tcPr>
            <w:tcW w:w="1440" w:type="dxa"/>
          </w:tcPr>
          <w:p w14:paraId="3D79BB93" w14:textId="77777777" w:rsidR="00055F39" w:rsidRPr="002C52FF" w:rsidRDefault="00055F39" w:rsidP="002C52FF">
            <w:pPr>
              <w:rPr>
                <w:rFonts w:asciiTheme="majorHAnsi" w:hAnsiTheme="majorHAnsi" w:cstheme="majorHAnsi"/>
              </w:rPr>
            </w:pPr>
            <w:r w:rsidRPr="002C52FF">
              <w:rPr>
                <w:rFonts w:asciiTheme="majorHAnsi" w:hAnsiTheme="majorHAnsi" w:cstheme="majorHAnsi"/>
              </w:rPr>
              <w:t>NIO</w:t>
            </w:r>
          </w:p>
        </w:tc>
        <w:tc>
          <w:tcPr>
            <w:tcW w:w="1440" w:type="dxa"/>
          </w:tcPr>
          <w:p w14:paraId="021DCCF3" w14:textId="77777777" w:rsidR="00055F39" w:rsidRPr="002C52FF" w:rsidRDefault="00055F39" w:rsidP="002C52FF">
            <w:pPr>
              <w:rPr>
                <w:rFonts w:asciiTheme="majorHAnsi" w:hAnsiTheme="majorHAnsi" w:cstheme="majorHAnsi"/>
              </w:rPr>
            </w:pPr>
            <w:r w:rsidRPr="002C52FF">
              <w:rPr>
                <w:rFonts w:asciiTheme="majorHAnsi" w:hAnsiTheme="majorHAnsi" w:cstheme="majorHAnsi"/>
              </w:rPr>
              <w:t>8.4</w:t>
            </w:r>
          </w:p>
        </w:tc>
        <w:tc>
          <w:tcPr>
            <w:tcW w:w="1440" w:type="dxa"/>
          </w:tcPr>
          <w:p w14:paraId="4C4C31E3" w14:textId="77777777" w:rsidR="00055F39" w:rsidRPr="002C52FF" w:rsidRDefault="00055F39" w:rsidP="002C52FF">
            <w:pPr>
              <w:rPr>
                <w:rFonts w:asciiTheme="majorHAnsi" w:hAnsiTheme="majorHAnsi" w:cstheme="majorHAnsi"/>
              </w:rPr>
            </w:pPr>
            <w:r w:rsidRPr="002C52FF">
              <w:rPr>
                <w:rFonts w:asciiTheme="majorHAnsi" w:hAnsiTheme="majorHAnsi" w:cstheme="majorHAnsi"/>
              </w:rPr>
              <w:t>+10.5%</w:t>
            </w:r>
          </w:p>
        </w:tc>
        <w:tc>
          <w:tcPr>
            <w:tcW w:w="1440" w:type="dxa"/>
          </w:tcPr>
          <w:p w14:paraId="2222A05E" w14:textId="77777777" w:rsidR="00055F39" w:rsidRPr="002C52FF" w:rsidRDefault="00055F39" w:rsidP="002C52FF">
            <w:pPr>
              <w:rPr>
                <w:rFonts w:asciiTheme="majorHAnsi" w:hAnsiTheme="majorHAnsi" w:cstheme="majorHAnsi"/>
              </w:rPr>
            </w:pPr>
            <w:r w:rsidRPr="002C52FF">
              <w:rPr>
                <w:rFonts w:asciiTheme="majorHAnsi" w:hAnsiTheme="majorHAnsi" w:cstheme="majorHAnsi"/>
              </w:rPr>
              <w:t>-1.7</w:t>
            </w:r>
          </w:p>
        </w:tc>
        <w:tc>
          <w:tcPr>
            <w:tcW w:w="1440" w:type="dxa"/>
          </w:tcPr>
          <w:p w14:paraId="256F0AE5" w14:textId="77777777" w:rsidR="00055F39" w:rsidRPr="002C52FF" w:rsidRDefault="00055F39" w:rsidP="002C52FF">
            <w:pPr>
              <w:rPr>
                <w:rFonts w:asciiTheme="majorHAnsi" w:hAnsiTheme="majorHAnsi" w:cstheme="majorHAnsi"/>
              </w:rPr>
            </w:pPr>
            <w:r w:rsidRPr="002C52FF">
              <w:rPr>
                <w:rFonts w:asciiTheme="majorHAnsi" w:hAnsiTheme="majorHAnsi" w:cstheme="majorHAnsi"/>
              </w:rPr>
              <w:t>+19.0%</w:t>
            </w:r>
          </w:p>
        </w:tc>
        <w:tc>
          <w:tcPr>
            <w:tcW w:w="1440" w:type="dxa"/>
          </w:tcPr>
          <w:p w14:paraId="3001B761" w14:textId="77777777" w:rsidR="00055F39" w:rsidRPr="002C52FF" w:rsidRDefault="00055F39" w:rsidP="002C52FF">
            <w:pPr>
              <w:rPr>
                <w:rFonts w:asciiTheme="majorHAnsi" w:hAnsiTheme="majorHAnsi" w:cstheme="majorHAnsi"/>
              </w:rPr>
            </w:pPr>
            <w:r w:rsidRPr="002C52FF">
              <w:rPr>
                <w:rFonts w:asciiTheme="majorHAnsi" w:hAnsiTheme="majorHAnsi" w:cstheme="majorHAnsi"/>
              </w:rPr>
              <w:t>Negative</w:t>
            </w:r>
          </w:p>
        </w:tc>
      </w:tr>
    </w:tbl>
    <w:p w14:paraId="52D5F228" w14:textId="77777777" w:rsidR="00055F39" w:rsidRPr="002C52FF" w:rsidRDefault="00055F39" w:rsidP="002C52FF">
      <w:pPr>
        <w:spacing w:after="0"/>
        <w:rPr>
          <w:rFonts w:asciiTheme="majorHAnsi" w:hAnsiTheme="majorHAnsi" w:cstheme="majorHAnsi"/>
        </w:rPr>
      </w:pPr>
      <w:r w:rsidRPr="002C52FF">
        <w:rPr>
          <w:rFonts w:asciiTheme="majorHAnsi" w:hAnsiTheme="majorHAnsi" w:cstheme="majorHAnsi"/>
          <w:b/>
          <w:bCs/>
        </w:rPr>
        <w:lastRenderedPageBreak/>
        <w:t>1. Revenue &amp; Scale</w:t>
      </w:r>
      <w:r w:rsidRPr="002C52FF">
        <w:rPr>
          <w:rFonts w:asciiTheme="majorHAnsi" w:hAnsiTheme="majorHAnsi" w:cstheme="majorHAnsi"/>
        </w:rPr>
        <w:br/>
        <w:t>Tesla dominates with ~$90B in revenue, maintaining its leadership in the EV market. Rivian and NIO are scaling steadily, while Lucid remains significantly smaller in topline performance.</w:t>
      </w:r>
    </w:p>
    <w:p w14:paraId="74B7C8A9" w14:textId="77777777" w:rsidR="00055F39" w:rsidRPr="002C52FF" w:rsidRDefault="00055F39" w:rsidP="002C52FF">
      <w:pPr>
        <w:spacing w:after="0"/>
        <w:rPr>
          <w:rFonts w:asciiTheme="majorHAnsi" w:hAnsiTheme="majorHAnsi" w:cstheme="majorHAnsi"/>
        </w:rPr>
      </w:pPr>
      <w:r w:rsidRPr="002C52FF">
        <w:rPr>
          <w:rFonts w:asciiTheme="majorHAnsi" w:hAnsiTheme="majorHAnsi" w:cstheme="majorHAnsi"/>
          <w:b/>
          <w:bCs/>
        </w:rPr>
        <w:t>2. Profitability Efficiency</w:t>
      </w:r>
      <w:r w:rsidRPr="002C52FF">
        <w:rPr>
          <w:rFonts w:asciiTheme="majorHAnsi" w:hAnsiTheme="majorHAnsi" w:cstheme="majorHAnsi"/>
        </w:rPr>
        <w:br/>
        <w:t>Tesla is the only profitable player in the group, though its net margin (~8.8%) has declined due to margin compression. All other companies are operating at a loss, reflecting high R&amp;D and production ramp costs.</w:t>
      </w:r>
    </w:p>
    <w:p w14:paraId="4999FD52" w14:textId="77777777" w:rsidR="00055F39" w:rsidRPr="002C52FF" w:rsidRDefault="00055F39" w:rsidP="002C52FF">
      <w:pPr>
        <w:spacing w:after="0"/>
        <w:rPr>
          <w:rFonts w:asciiTheme="majorHAnsi" w:hAnsiTheme="majorHAnsi" w:cstheme="majorHAnsi"/>
        </w:rPr>
      </w:pPr>
      <w:r w:rsidRPr="002C52FF">
        <w:rPr>
          <w:rFonts w:asciiTheme="majorHAnsi" w:hAnsiTheme="majorHAnsi" w:cstheme="majorHAnsi"/>
          <w:b/>
          <w:bCs/>
        </w:rPr>
        <w:t>3. Growth Trends &amp; Stability</w:t>
      </w:r>
      <w:r w:rsidRPr="002C52FF">
        <w:rPr>
          <w:rFonts w:asciiTheme="majorHAnsi" w:hAnsiTheme="majorHAnsi" w:cstheme="majorHAnsi"/>
        </w:rPr>
        <w:br/>
        <w:t>Tesla's YoY growth has slowed as pricing cuts and market saturation challenge margins. Rivian and NIO exhibit promising revenue growth, while Lucid struggles to gain volume traction. NIO's improved net loss signals potential for near-term breakeven.</w:t>
      </w:r>
    </w:p>
    <w:p w14:paraId="33980B6E" w14:textId="77777777" w:rsidR="00055F39" w:rsidRPr="002C52FF" w:rsidRDefault="00055F39" w:rsidP="002C52FF">
      <w:pPr>
        <w:spacing w:after="0"/>
        <w:rPr>
          <w:rFonts w:asciiTheme="majorHAnsi" w:hAnsiTheme="majorHAnsi" w:cstheme="majorHAnsi"/>
        </w:rPr>
      </w:pPr>
      <w:r w:rsidRPr="002C52FF">
        <w:rPr>
          <w:rFonts w:asciiTheme="majorHAnsi" w:hAnsiTheme="majorHAnsi" w:cstheme="majorHAnsi"/>
          <w:b/>
          <w:bCs/>
        </w:rPr>
        <w:t>4. Stock Valuation &amp; Market Sentiment</w:t>
      </w:r>
      <w:r w:rsidRPr="002C52FF">
        <w:rPr>
          <w:rFonts w:asciiTheme="majorHAnsi" w:hAnsiTheme="majorHAnsi" w:cstheme="majorHAnsi"/>
        </w:rPr>
        <w:br/>
        <w:t>Tesla trades at $322/share, commanding a high valuation premium due to its brand and scale. Lucid (~$3.8/share) and Rivian (~$11/share) trade near historic lows amid cash burn concerns. NIO (~$5.2/share) has recovered moderately with signs of stabilization.</w:t>
      </w:r>
    </w:p>
    <w:p w14:paraId="6AFB503A" w14:textId="77777777" w:rsidR="00055F39" w:rsidRPr="002C52FF" w:rsidRDefault="00055F39" w:rsidP="002C52FF">
      <w:pPr>
        <w:spacing w:after="0"/>
        <w:rPr>
          <w:rFonts w:asciiTheme="majorHAnsi" w:hAnsiTheme="majorHAnsi" w:cstheme="majorHAnsi"/>
        </w:rPr>
      </w:pPr>
      <w:r w:rsidRPr="002C52FF">
        <w:rPr>
          <w:rFonts w:asciiTheme="majorHAnsi" w:hAnsiTheme="majorHAnsi" w:cstheme="majorHAnsi"/>
          <w:b/>
          <w:bCs/>
        </w:rPr>
        <w:t>5. Volatility &amp; Risk Factors</w:t>
      </w:r>
      <w:r w:rsidRPr="002C52FF">
        <w:rPr>
          <w:rFonts w:asciiTheme="majorHAnsi" w:hAnsiTheme="majorHAnsi" w:cstheme="majorHAnsi"/>
        </w:rPr>
        <w:br/>
        <w:t>Tesla faces margin pressure and regulatory scrutiny, while the others contend with cash burn, production scaling, and macro headwinds. Rivian is relatively better positioned operationally, while Lucid remains vulnerable to dilution risk.</w:t>
      </w:r>
    </w:p>
    <w:p w14:paraId="4641B609" w14:textId="77777777" w:rsidR="00055F39" w:rsidRPr="002C52FF" w:rsidRDefault="00055F39" w:rsidP="002C52FF">
      <w:pPr>
        <w:spacing w:after="0"/>
        <w:rPr>
          <w:rFonts w:asciiTheme="majorHAnsi" w:hAnsiTheme="majorHAnsi" w:cstheme="majorHAnsi"/>
        </w:rPr>
      </w:pPr>
      <w:r w:rsidRPr="002C52FF">
        <w:rPr>
          <w:rFonts w:asciiTheme="majorHAnsi" w:hAnsiTheme="majorHAnsi" w:cstheme="majorHAnsi"/>
          <w:b/>
          <w:bCs/>
        </w:rPr>
        <w:t>6. Future Prospects</w:t>
      </w:r>
      <w:r w:rsidRPr="002C52FF">
        <w:rPr>
          <w:rFonts w:asciiTheme="majorHAnsi" w:hAnsiTheme="majorHAnsi" w:cstheme="majorHAnsi"/>
        </w:rPr>
        <w:br/>
        <w:t>Tesla is investing heavily in AI, robotics, and FSD, aiming for multi-segment disruption. Rivian is expected to benefit from commercial vehicle expansion. NIO is expanding globally but faces geopolitical risks. Lucid's future hinges on international demand and cost control.</w:t>
      </w:r>
    </w:p>
    <w:p w14:paraId="61F13F93" w14:textId="77777777" w:rsidR="00055F39" w:rsidRPr="002C52FF" w:rsidRDefault="00055F39" w:rsidP="002C52FF">
      <w:pPr>
        <w:spacing w:after="0"/>
        <w:rPr>
          <w:rFonts w:asciiTheme="majorHAnsi" w:hAnsiTheme="majorHAnsi" w:cstheme="majorHAnsi"/>
          <w:b/>
          <w:bCs/>
        </w:rPr>
      </w:pPr>
      <w:r w:rsidRPr="002C52FF">
        <w:rPr>
          <w:rFonts w:asciiTheme="majorHAnsi" w:hAnsiTheme="majorHAnsi" w:cstheme="majorHAnsi"/>
          <w:b/>
          <w:bCs/>
        </w:rPr>
        <w:t>Tesla leads in scale and profitability but is experiencing pressure on margins. Rivian shows strong revenue growth but remains unprofitable. NIO is narrowing losses with improving fundamentals. Lucid continues to face scale and capital challenges.</w:t>
      </w:r>
    </w:p>
    <w:p w14:paraId="30C1E2A3" w14:textId="19204DA6" w:rsidR="00BF7101" w:rsidRPr="002C52FF" w:rsidRDefault="008064F6" w:rsidP="002C52FF">
      <w:pPr>
        <w:pStyle w:val="Heading2"/>
        <w:rPr>
          <w:rFonts w:cstheme="majorHAnsi"/>
          <w:b w:val="0"/>
          <w:bCs w:val="0"/>
          <w:color w:val="000000" w:themeColor="text1"/>
          <w:sz w:val="22"/>
          <w:szCs w:val="22"/>
        </w:rPr>
      </w:pPr>
      <w:r w:rsidRPr="002C52FF">
        <w:rPr>
          <w:rFonts w:cstheme="majorHAnsi"/>
          <w:sz w:val="22"/>
          <w:szCs w:val="22"/>
        </w:rPr>
        <w:t xml:space="preserve">3. </w:t>
      </w:r>
      <w:r w:rsidR="00BF7101" w:rsidRPr="002C52FF">
        <w:rPr>
          <w:rFonts w:cstheme="majorHAnsi"/>
          <w:sz w:val="22"/>
          <w:szCs w:val="22"/>
        </w:rPr>
        <w:t>Streaming &amp; Entertainment</w:t>
      </w:r>
    </w:p>
    <w:p w14:paraId="0BCFA9E0" w14:textId="2C3A282C" w:rsidR="002C52FF" w:rsidRPr="002C52FF" w:rsidRDefault="00BF7101" w:rsidP="002C52FF">
      <w:pPr>
        <w:pStyle w:val="Heading2"/>
        <w:rPr>
          <w:rFonts w:cstheme="majorHAnsi"/>
          <w:b w:val="0"/>
          <w:bCs w:val="0"/>
          <w:color w:val="000000" w:themeColor="text1"/>
          <w:sz w:val="22"/>
          <w:szCs w:val="22"/>
        </w:rPr>
      </w:pPr>
      <w:r w:rsidRPr="002C52FF">
        <w:rPr>
          <w:rFonts w:cstheme="majorHAnsi"/>
          <w:b w:val="0"/>
          <w:bCs w:val="0"/>
          <w:color w:val="000000" w:themeColor="text1"/>
          <w:sz w:val="22"/>
          <w:szCs w:val="22"/>
        </w:rPr>
        <w:t>Companies: Netflix Inc., Amazon Prime Video, Disney+</w:t>
      </w:r>
    </w:p>
    <w:tbl>
      <w:tblPr>
        <w:tblStyle w:val="TableGrid"/>
        <w:tblW w:w="0" w:type="auto"/>
        <w:tblLook w:val="04A0" w:firstRow="1" w:lastRow="0" w:firstColumn="1" w:lastColumn="0" w:noHBand="0" w:noVBand="1"/>
      </w:tblPr>
      <w:tblGrid>
        <w:gridCol w:w="1062"/>
        <w:gridCol w:w="995"/>
        <w:gridCol w:w="995"/>
        <w:gridCol w:w="995"/>
        <w:gridCol w:w="995"/>
        <w:gridCol w:w="897"/>
        <w:gridCol w:w="897"/>
        <w:gridCol w:w="897"/>
        <w:gridCol w:w="897"/>
      </w:tblGrid>
      <w:tr w:rsidR="002C52FF" w:rsidRPr="002C52FF" w14:paraId="11B00DAD" w14:textId="77777777" w:rsidTr="00DB6A6C">
        <w:tc>
          <w:tcPr>
            <w:tcW w:w="960" w:type="dxa"/>
          </w:tcPr>
          <w:p w14:paraId="79A1E754" w14:textId="77777777" w:rsidR="002C52FF" w:rsidRPr="002C52FF" w:rsidRDefault="002C52FF" w:rsidP="002C52FF">
            <w:pPr>
              <w:rPr>
                <w:rFonts w:asciiTheme="majorHAnsi" w:hAnsiTheme="majorHAnsi" w:cstheme="majorHAnsi"/>
              </w:rPr>
            </w:pPr>
            <w:r w:rsidRPr="002C52FF">
              <w:rPr>
                <w:rFonts w:asciiTheme="majorHAnsi" w:hAnsiTheme="majorHAnsi" w:cstheme="majorHAnsi"/>
              </w:rPr>
              <w:t>Company</w:t>
            </w:r>
          </w:p>
        </w:tc>
        <w:tc>
          <w:tcPr>
            <w:tcW w:w="960" w:type="dxa"/>
          </w:tcPr>
          <w:p w14:paraId="53347667" w14:textId="77777777" w:rsidR="002C52FF" w:rsidRPr="002C52FF" w:rsidRDefault="002C52FF" w:rsidP="002C52FF">
            <w:pPr>
              <w:rPr>
                <w:rFonts w:asciiTheme="majorHAnsi" w:hAnsiTheme="majorHAnsi" w:cstheme="majorHAnsi"/>
              </w:rPr>
            </w:pPr>
            <w:r w:rsidRPr="002C52FF">
              <w:rPr>
                <w:rFonts w:asciiTheme="majorHAnsi" w:hAnsiTheme="majorHAnsi" w:cstheme="majorHAnsi"/>
              </w:rPr>
              <w:t>2022 Revenue ($B)</w:t>
            </w:r>
          </w:p>
        </w:tc>
        <w:tc>
          <w:tcPr>
            <w:tcW w:w="960" w:type="dxa"/>
          </w:tcPr>
          <w:p w14:paraId="1EAF350C" w14:textId="77777777" w:rsidR="002C52FF" w:rsidRPr="002C52FF" w:rsidRDefault="002C52FF" w:rsidP="002C52FF">
            <w:pPr>
              <w:rPr>
                <w:rFonts w:asciiTheme="majorHAnsi" w:hAnsiTheme="majorHAnsi" w:cstheme="majorHAnsi"/>
              </w:rPr>
            </w:pPr>
            <w:r w:rsidRPr="002C52FF">
              <w:rPr>
                <w:rFonts w:asciiTheme="majorHAnsi" w:hAnsiTheme="majorHAnsi" w:cstheme="majorHAnsi"/>
              </w:rPr>
              <w:t>2023 Revenue ($B)</w:t>
            </w:r>
          </w:p>
        </w:tc>
        <w:tc>
          <w:tcPr>
            <w:tcW w:w="960" w:type="dxa"/>
          </w:tcPr>
          <w:p w14:paraId="4292C8DA" w14:textId="77777777" w:rsidR="002C52FF" w:rsidRPr="002C52FF" w:rsidRDefault="002C52FF" w:rsidP="002C52FF">
            <w:pPr>
              <w:rPr>
                <w:rFonts w:asciiTheme="majorHAnsi" w:hAnsiTheme="majorHAnsi" w:cstheme="majorHAnsi"/>
              </w:rPr>
            </w:pPr>
            <w:r w:rsidRPr="002C52FF">
              <w:rPr>
                <w:rFonts w:asciiTheme="majorHAnsi" w:hAnsiTheme="majorHAnsi" w:cstheme="majorHAnsi"/>
              </w:rPr>
              <w:t>2024 Revenue ($B)</w:t>
            </w:r>
          </w:p>
        </w:tc>
        <w:tc>
          <w:tcPr>
            <w:tcW w:w="960" w:type="dxa"/>
          </w:tcPr>
          <w:p w14:paraId="14303594" w14:textId="77777777" w:rsidR="002C52FF" w:rsidRPr="002C52FF" w:rsidRDefault="002C52FF" w:rsidP="002C52FF">
            <w:pPr>
              <w:rPr>
                <w:rFonts w:asciiTheme="majorHAnsi" w:hAnsiTheme="majorHAnsi" w:cstheme="majorHAnsi"/>
              </w:rPr>
            </w:pPr>
            <w:r w:rsidRPr="002C52FF">
              <w:rPr>
                <w:rFonts w:asciiTheme="majorHAnsi" w:hAnsiTheme="majorHAnsi" w:cstheme="majorHAnsi"/>
              </w:rPr>
              <w:t>2025 Revenue ($B, TTM)</w:t>
            </w:r>
          </w:p>
        </w:tc>
        <w:tc>
          <w:tcPr>
            <w:tcW w:w="960" w:type="dxa"/>
          </w:tcPr>
          <w:p w14:paraId="18843533" w14:textId="77777777" w:rsidR="002C52FF" w:rsidRPr="002C52FF" w:rsidRDefault="002C52FF" w:rsidP="002C52FF">
            <w:pPr>
              <w:rPr>
                <w:rFonts w:asciiTheme="majorHAnsi" w:hAnsiTheme="majorHAnsi" w:cstheme="majorHAnsi"/>
              </w:rPr>
            </w:pPr>
            <w:r w:rsidRPr="002C52FF">
              <w:rPr>
                <w:rFonts w:asciiTheme="majorHAnsi" w:hAnsiTheme="majorHAnsi" w:cstheme="majorHAnsi"/>
              </w:rPr>
              <w:t>2022 Net Income ($B)</w:t>
            </w:r>
          </w:p>
        </w:tc>
        <w:tc>
          <w:tcPr>
            <w:tcW w:w="960" w:type="dxa"/>
          </w:tcPr>
          <w:p w14:paraId="22F9B57A" w14:textId="77777777" w:rsidR="002C52FF" w:rsidRPr="002C52FF" w:rsidRDefault="002C52FF" w:rsidP="002C52FF">
            <w:pPr>
              <w:rPr>
                <w:rFonts w:asciiTheme="majorHAnsi" w:hAnsiTheme="majorHAnsi" w:cstheme="majorHAnsi"/>
              </w:rPr>
            </w:pPr>
            <w:r w:rsidRPr="002C52FF">
              <w:rPr>
                <w:rFonts w:asciiTheme="majorHAnsi" w:hAnsiTheme="majorHAnsi" w:cstheme="majorHAnsi"/>
              </w:rPr>
              <w:t>2023 Net Income ($B)</w:t>
            </w:r>
          </w:p>
        </w:tc>
        <w:tc>
          <w:tcPr>
            <w:tcW w:w="960" w:type="dxa"/>
          </w:tcPr>
          <w:p w14:paraId="60B3DBE4" w14:textId="77777777" w:rsidR="002C52FF" w:rsidRPr="002C52FF" w:rsidRDefault="002C52FF" w:rsidP="002C52FF">
            <w:pPr>
              <w:rPr>
                <w:rFonts w:asciiTheme="majorHAnsi" w:hAnsiTheme="majorHAnsi" w:cstheme="majorHAnsi"/>
              </w:rPr>
            </w:pPr>
            <w:r w:rsidRPr="002C52FF">
              <w:rPr>
                <w:rFonts w:asciiTheme="majorHAnsi" w:hAnsiTheme="majorHAnsi" w:cstheme="majorHAnsi"/>
              </w:rPr>
              <w:t>2024 Net Income ($B)</w:t>
            </w:r>
          </w:p>
        </w:tc>
        <w:tc>
          <w:tcPr>
            <w:tcW w:w="960" w:type="dxa"/>
          </w:tcPr>
          <w:p w14:paraId="6F079A1C" w14:textId="77777777" w:rsidR="002C52FF" w:rsidRPr="002C52FF" w:rsidRDefault="002C52FF" w:rsidP="002C52FF">
            <w:pPr>
              <w:rPr>
                <w:rFonts w:asciiTheme="majorHAnsi" w:hAnsiTheme="majorHAnsi" w:cstheme="majorHAnsi"/>
              </w:rPr>
            </w:pPr>
            <w:r w:rsidRPr="002C52FF">
              <w:rPr>
                <w:rFonts w:asciiTheme="majorHAnsi" w:hAnsiTheme="majorHAnsi" w:cstheme="majorHAnsi"/>
              </w:rPr>
              <w:t>2025 Net Income ($B)</w:t>
            </w:r>
          </w:p>
        </w:tc>
      </w:tr>
      <w:tr w:rsidR="002C52FF" w:rsidRPr="002C52FF" w14:paraId="5872685B" w14:textId="77777777" w:rsidTr="00DB6A6C">
        <w:tc>
          <w:tcPr>
            <w:tcW w:w="960" w:type="dxa"/>
          </w:tcPr>
          <w:p w14:paraId="2A094FBC" w14:textId="77777777" w:rsidR="002C52FF" w:rsidRPr="002C52FF" w:rsidRDefault="002C52FF" w:rsidP="002C52FF">
            <w:pPr>
              <w:rPr>
                <w:rFonts w:asciiTheme="majorHAnsi" w:hAnsiTheme="majorHAnsi" w:cstheme="majorHAnsi"/>
              </w:rPr>
            </w:pPr>
            <w:r w:rsidRPr="002C52FF">
              <w:rPr>
                <w:rFonts w:asciiTheme="majorHAnsi" w:hAnsiTheme="majorHAnsi" w:cstheme="majorHAnsi"/>
              </w:rPr>
              <w:t>Netflix</w:t>
            </w:r>
          </w:p>
        </w:tc>
        <w:tc>
          <w:tcPr>
            <w:tcW w:w="960" w:type="dxa"/>
          </w:tcPr>
          <w:p w14:paraId="4244A761" w14:textId="77777777" w:rsidR="002C52FF" w:rsidRPr="002C52FF" w:rsidRDefault="002C52FF" w:rsidP="002C52FF">
            <w:pPr>
              <w:rPr>
                <w:rFonts w:asciiTheme="majorHAnsi" w:hAnsiTheme="majorHAnsi" w:cstheme="majorHAnsi"/>
              </w:rPr>
            </w:pPr>
            <w:r w:rsidRPr="002C52FF">
              <w:rPr>
                <w:rFonts w:asciiTheme="majorHAnsi" w:hAnsiTheme="majorHAnsi" w:cstheme="majorHAnsi"/>
              </w:rPr>
              <w:t>31.6</w:t>
            </w:r>
          </w:p>
        </w:tc>
        <w:tc>
          <w:tcPr>
            <w:tcW w:w="960" w:type="dxa"/>
          </w:tcPr>
          <w:p w14:paraId="5ED60409" w14:textId="77777777" w:rsidR="002C52FF" w:rsidRPr="002C52FF" w:rsidRDefault="002C52FF" w:rsidP="002C52FF">
            <w:pPr>
              <w:rPr>
                <w:rFonts w:asciiTheme="majorHAnsi" w:hAnsiTheme="majorHAnsi" w:cstheme="majorHAnsi"/>
              </w:rPr>
            </w:pPr>
            <w:r w:rsidRPr="002C52FF">
              <w:rPr>
                <w:rFonts w:asciiTheme="majorHAnsi" w:hAnsiTheme="majorHAnsi" w:cstheme="majorHAnsi"/>
              </w:rPr>
              <w:t>37.6</w:t>
            </w:r>
          </w:p>
        </w:tc>
        <w:tc>
          <w:tcPr>
            <w:tcW w:w="960" w:type="dxa"/>
          </w:tcPr>
          <w:p w14:paraId="5365B844" w14:textId="77777777" w:rsidR="002C52FF" w:rsidRPr="002C52FF" w:rsidRDefault="002C52FF" w:rsidP="002C52FF">
            <w:pPr>
              <w:rPr>
                <w:rFonts w:asciiTheme="majorHAnsi" w:hAnsiTheme="majorHAnsi" w:cstheme="majorHAnsi"/>
              </w:rPr>
            </w:pPr>
            <w:r w:rsidRPr="002C52FF">
              <w:rPr>
                <w:rFonts w:asciiTheme="majorHAnsi" w:hAnsiTheme="majorHAnsi" w:cstheme="majorHAnsi"/>
              </w:rPr>
              <w:t>39.0</w:t>
            </w:r>
          </w:p>
        </w:tc>
        <w:tc>
          <w:tcPr>
            <w:tcW w:w="960" w:type="dxa"/>
          </w:tcPr>
          <w:p w14:paraId="005AF13B" w14:textId="77777777" w:rsidR="002C52FF" w:rsidRPr="002C52FF" w:rsidRDefault="002C52FF" w:rsidP="002C52FF">
            <w:pPr>
              <w:rPr>
                <w:rFonts w:asciiTheme="majorHAnsi" w:hAnsiTheme="majorHAnsi" w:cstheme="majorHAnsi"/>
              </w:rPr>
            </w:pPr>
            <w:r w:rsidRPr="002C52FF">
              <w:rPr>
                <w:rFonts w:asciiTheme="majorHAnsi" w:hAnsiTheme="majorHAnsi" w:cstheme="majorHAnsi"/>
              </w:rPr>
              <w:t>40.5</w:t>
            </w:r>
          </w:p>
        </w:tc>
        <w:tc>
          <w:tcPr>
            <w:tcW w:w="960" w:type="dxa"/>
          </w:tcPr>
          <w:p w14:paraId="3BE526D2" w14:textId="77777777" w:rsidR="002C52FF" w:rsidRPr="002C52FF" w:rsidRDefault="002C52FF" w:rsidP="002C52FF">
            <w:pPr>
              <w:rPr>
                <w:rFonts w:asciiTheme="majorHAnsi" w:hAnsiTheme="majorHAnsi" w:cstheme="majorHAnsi"/>
              </w:rPr>
            </w:pPr>
            <w:r w:rsidRPr="002C52FF">
              <w:rPr>
                <w:rFonts w:asciiTheme="majorHAnsi" w:hAnsiTheme="majorHAnsi" w:cstheme="majorHAnsi"/>
              </w:rPr>
              <w:t>4.5</w:t>
            </w:r>
          </w:p>
        </w:tc>
        <w:tc>
          <w:tcPr>
            <w:tcW w:w="960" w:type="dxa"/>
          </w:tcPr>
          <w:p w14:paraId="610F1D95" w14:textId="77777777" w:rsidR="002C52FF" w:rsidRPr="002C52FF" w:rsidRDefault="002C52FF" w:rsidP="002C52FF">
            <w:pPr>
              <w:rPr>
                <w:rFonts w:asciiTheme="majorHAnsi" w:hAnsiTheme="majorHAnsi" w:cstheme="majorHAnsi"/>
              </w:rPr>
            </w:pPr>
            <w:r w:rsidRPr="002C52FF">
              <w:rPr>
                <w:rFonts w:asciiTheme="majorHAnsi" w:hAnsiTheme="majorHAnsi" w:cstheme="majorHAnsi"/>
              </w:rPr>
              <w:t>5.4</w:t>
            </w:r>
          </w:p>
        </w:tc>
        <w:tc>
          <w:tcPr>
            <w:tcW w:w="960" w:type="dxa"/>
          </w:tcPr>
          <w:p w14:paraId="1BEEB672" w14:textId="77777777" w:rsidR="002C52FF" w:rsidRPr="002C52FF" w:rsidRDefault="002C52FF" w:rsidP="002C52FF">
            <w:pPr>
              <w:rPr>
                <w:rFonts w:asciiTheme="majorHAnsi" w:hAnsiTheme="majorHAnsi" w:cstheme="majorHAnsi"/>
              </w:rPr>
            </w:pPr>
            <w:r w:rsidRPr="002C52FF">
              <w:rPr>
                <w:rFonts w:asciiTheme="majorHAnsi" w:hAnsiTheme="majorHAnsi" w:cstheme="majorHAnsi"/>
              </w:rPr>
              <w:t>8.7</w:t>
            </w:r>
          </w:p>
        </w:tc>
        <w:tc>
          <w:tcPr>
            <w:tcW w:w="960" w:type="dxa"/>
          </w:tcPr>
          <w:p w14:paraId="2FD9FAAC" w14:textId="77777777" w:rsidR="002C52FF" w:rsidRPr="002C52FF" w:rsidRDefault="002C52FF" w:rsidP="002C52FF">
            <w:pPr>
              <w:rPr>
                <w:rFonts w:asciiTheme="majorHAnsi" w:hAnsiTheme="majorHAnsi" w:cstheme="majorHAnsi"/>
              </w:rPr>
            </w:pPr>
            <w:r w:rsidRPr="002C52FF">
              <w:rPr>
                <w:rFonts w:asciiTheme="majorHAnsi" w:hAnsiTheme="majorHAnsi" w:cstheme="majorHAnsi"/>
              </w:rPr>
              <w:t>6.1</w:t>
            </w:r>
          </w:p>
        </w:tc>
      </w:tr>
      <w:tr w:rsidR="002C52FF" w:rsidRPr="002C52FF" w14:paraId="1EB3BA11" w14:textId="77777777" w:rsidTr="00DB6A6C">
        <w:tc>
          <w:tcPr>
            <w:tcW w:w="960" w:type="dxa"/>
          </w:tcPr>
          <w:p w14:paraId="381A5D06" w14:textId="77777777" w:rsidR="002C52FF" w:rsidRPr="002C52FF" w:rsidRDefault="002C52FF" w:rsidP="002C52FF">
            <w:pPr>
              <w:rPr>
                <w:rFonts w:asciiTheme="majorHAnsi" w:hAnsiTheme="majorHAnsi" w:cstheme="majorHAnsi"/>
              </w:rPr>
            </w:pPr>
            <w:r w:rsidRPr="002C52FF">
              <w:rPr>
                <w:rFonts w:asciiTheme="majorHAnsi" w:hAnsiTheme="majorHAnsi" w:cstheme="majorHAnsi"/>
              </w:rPr>
              <w:t>Amazon</w:t>
            </w:r>
          </w:p>
        </w:tc>
        <w:tc>
          <w:tcPr>
            <w:tcW w:w="960" w:type="dxa"/>
          </w:tcPr>
          <w:p w14:paraId="666F9395" w14:textId="77777777" w:rsidR="002C52FF" w:rsidRPr="002C52FF" w:rsidRDefault="002C52FF" w:rsidP="002C52FF">
            <w:pPr>
              <w:rPr>
                <w:rFonts w:asciiTheme="majorHAnsi" w:hAnsiTheme="majorHAnsi" w:cstheme="majorHAnsi"/>
              </w:rPr>
            </w:pPr>
            <w:r w:rsidRPr="002C52FF">
              <w:rPr>
                <w:rFonts w:asciiTheme="majorHAnsi" w:hAnsiTheme="majorHAnsi" w:cstheme="majorHAnsi"/>
              </w:rPr>
              <w:t>513.9</w:t>
            </w:r>
          </w:p>
        </w:tc>
        <w:tc>
          <w:tcPr>
            <w:tcW w:w="960" w:type="dxa"/>
          </w:tcPr>
          <w:p w14:paraId="617DA440" w14:textId="77777777" w:rsidR="002C52FF" w:rsidRPr="002C52FF" w:rsidRDefault="002C52FF" w:rsidP="002C52FF">
            <w:pPr>
              <w:rPr>
                <w:rFonts w:asciiTheme="majorHAnsi" w:hAnsiTheme="majorHAnsi" w:cstheme="majorHAnsi"/>
              </w:rPr>
            </w:pPr>
            <w:r w:rsidRPr="002C52FF">
              <w:rPr>
                <w:rFonts w:asciiTheme="majorHAnsi" w:hAnsiTheme="majorHAnsi" w:cstheme="majorHAnsi"/>
              </w:rPr>
              <w:t>574.8</w:t>
            </w:r>
          </w:p>
        </w:tc>
        <w:tc>
          <w:tcPr>
            <w:tcW w:w="960" w:type="dxa"/>
          </w:tcPr>
          <w:p w14:paraId="2C132562" w14:textId="77777777" w:rsidR="002C52FF" w:rsidRPr="002C52FF" w:rsidRDefault="002C52FF" w:rsidP="002C52FF">
            <w:pPr>
              <w:rPr>
                <w:rFonts w:asciiTheme="majorHAnsi" w:hAnsiTheme="majorHAnsi" w:cstheme="majorHAnsi"/>
              </w:rPr>
            </w:pPr>
            <w:r w:rsidRPr="002C52FF">
              <w:rPr>
                <w:rFonts w:asciiTheme="majorHAnsi" w:hAnsiTheme="majorHAnsi" w:cstheme="majorHAnsi"/>
              </w:rPr>
              <w:t>638.0</w:t>
            </w:r>
          </w:p>
        </w:tc>
        <w:tc>
          <w:tcPr>
            <w:tcW w:w="960" w:type="dxa"/>
          </w:tcPr>
          <w:p w14:paraId="758DFD49" w14:textId="77777777" w:rsidR="002C52FF" w:rsidRPr="002C52FF" w:rsidRDefault="002C52FF" w:rsidP="002C52FF">
            <w:pPr>
              <w:rPr>
                <w:rFonts w:asciiTheme="majorHAnsi" w:hAnsiTheme="majorHAnsi" w:cstheme="majorHAnsi"/>
              </w:rPr>
            </w:pPr>
            <w:r w:rsidRPr="002C52FF">
              <w:rPr>
                <w:rFonts w:asciiTheme="majorHAnsi" w:hAnsiTheme="majorHAnsi" w:cstheme="majorHAnsi"/>
              </w:rPr>
              <w:t>610.5</w:t>
            </w:r>
          </w:p>
        </w:tc>
        <w:tc>
          <w:tcPr>
            <w:tcW w:w="960" w:type="dxa"/>
          </w:tcPr>
          <w:p w14:paraId="633ACDCE" w14:textId="77777777" w:rsidR="002C52FF" w:rsidRPr="002C52FF" w:rsidRDefault="002C52FF" w:rsidP="002C52FF">
            <w:pPr>
              <w:rPr>
                <w:rFonts w:asciiTheme="majorHAnsi" w:hAnsiTheme="majorHAnsi" w:cstheme="majorHAnsi"/>
              </w:rPr>
            </w:pPr>
            <w:r w:rsidRPr="002C52FF">
              <w:rPr>
                <w:rFonts w:asciiTheme="majorHAnsi" w:hAnsiTheme="majorHAnsi" w:cstheme="majorHAnsi"/>
              </w:rPr>
              <w:t>11.6</w:t>
            </w:r>
          </w:p>
        </w:tc>
        <w:tc>
          <w:tcPr>
            <w:tcW w:w="960" w:type="dxa"/>
          </w:tcPr>
          <w:p w14:paraId="61F65471" w14:textId="77777777" w:rsidR="002C52FF" w:rsidRPr="002C52FF" w:rsidRDefault="002C52FF" w:rsidP="002C52FF">
            <w:pPr>
              <w:rPr>
                <w:rFonts w:asciiTheme="majorHAnsi" w:hAnsiTheme="majorHAnsi" w:cstheme="majorHAnsi"/>
              </w:rPr>
            </w:pPr>
            <w:r w:rsidRPr="002C52FF">
              <w:rPr>
                <w:rFonts w:asciiTheme="majorHAnsi" w:hAnsiTheme="majorHAnsi" w:cstheme="majorHAnsi"/>
              </w:rPr>
              <w:t>30.4</w:t>
            </w:r>
          </w:p>
        </w:tc>
        <w:tc>
          <w:tcPr>
            <w:tcW w:w="960" w:type="dxa"/>
          </w:tcPr>
          <w:p w14:paraId="42124F83" w14:textId="77777777" w:rsidR="002C52FF" w:rsidRPr="002C52FF" w:rsidRDefault="002C52FF" w:rsidP="002C52FF">
            <w:pPr>
              <w:rPr>
                <w:rFonts w:asciiTheme="majorHAnsi" w:hAnsiTheme="majorHAnsi" w:cstheme="majorHAnsi"/>
              </w:rPr>
            </w:pPr>
            <w:r w:rsidRPr="002C52FF">
              <w:rPr>
                <w:rFonts w:asciiTheme="majorHAnsi" w:hAnsiTheme="majorHAnsi" w:cstheme="majorHAnsi"/>
              </w:rPr>
              <w:t>59.2</w:t>
            </w:r>
          </w:p>
        </w:tc>
        <w:tc>
          <w:tcPr>
            <w:tcW w:w="960" w:type="dxa"/>
          </w:tcPr>
          <w:p w14:paraId="538133F9" w14:textId="77777777" w:rsidR="002C52FF" w:rsidRPr="002C52FF" w:rsidRDefault="002C52FF" w:rsidP="002C52FF">
            <w:pPr>
              <w:rPr>
                <w:rFonts w:asciiTheme="majorHAnsi" w:hAnsiTheme="majorHAnsi" w:cstheme="majorHAnsi"/>
              </w:rPr>
            </w:pPr>
            <w:r w:rsidRPr="002C52FF">
              <w:rPr>
                <w:rFonts w:asciiTheme="majorHAnsi" w:hAnsiTheme="majorHAnsi" w:cstheme="majorHAnsi"/>
              </w:rPr>
              <w:t>37.4</w:t>
            </w:r>
          </w:p>
        </w:tc>
      </w:tr>
      <w:tr w:rsidR="002C52FF" w:rsidRPr="002C52FF" w14:paraId="4536D3F7" w14:textId="77777777" w:rsidTr="00DB6A6C">
        <w:tc>
          <w:tcPr>
            <w:tcW w:w="960" w:type="dxa"/>
          </w:tcPr>
          <w:p w14:paraId="6FF5D326" w14:textId="77777777" w:rsidR="002C52FF" w:rsidRPr="002C52FF" w:rsidRDefault="002C52FF" w:rsidP="002C52FF">
            <w:pPr>
              <w:rPr>
                <w:rFonts w:asciiTheme="majorHAnsi" w:hAnsiTheme="majorHAnsi" w:cstheme="majorHAnsi"/>
              </w:rPr>
            </w:pPr>
            <w:r w:rsidRPr="002C52FF">
              <w:rPr>
                <w:rFonts w:asciiTheme="majorHAnsi" w:hAnsiTheme="majorHAnsi" w:cstheme="majorHAnsi"/>
              </w:rPr>
              <w:t>Disney</w:t>
            </w:r>
          </w:p>
        </w:tc>
        <w:tc>
          <w:tcPr>
            <w:tcW w:w="960" w:type="dxa"/>
          </w:tcPr>
          <w:p w14:paraId="44B242C1" w14:textId="77777777" w:rsidR="002C52FF" w:rsidRPr="002C52FF" w:rsidRDefault="002C52FF" w:rsidP="002C52FF">
            <w:pPr>
              <w:rPr>
                <w:rFonts w:asciiTheme="majorHAnsi" w:hAnsiTheme="majorHAnsi" w:cstheme="majorHAnsi"/>
              </w:rPr>
            </w:pPr>
            <w:r w:rsidRPr="002C52FF">
              <w:rPr>
                <w:rFonts w:asciiTheme="majorHAnsi" w:hAnsiTheme="majorHAnsi" w:cstheme="majorHAnsi"/>
              </w:rPr>
              <w:t>82.7</w:t>
            </w:r>
          </w:p>
        </w:tc>
        <w:tc>
          <w:tcPr>
            <w:tcW w:w="960" w:type="dxa"/>
          </w:tcPr>
          <w:p w14:paraId="05B7B9F6" w14:textId="77777777" w:rsidR="002C52FF" w:rsidRPr="002C52FF" w:rsidRDefault="002C52FF" w:rsidP="002C52FF">
            <w:pPr>
              <w:rPr>
                <w:rFonts w:asciiTheme="majorHAnsi" w:hAnsiTheme="majorHAnsi" w:cstheme="majorHAnsi"/>
              </w:rPr>
            </w:pPr>
            <w:r w:rsidRPr="002C52FF">
              <w:rPr>
                <w:rFonts w:asciiTheme="majorHAnsi" w:hAnsiTheme="majorHAnsi" w:cstheme="majorHAnsi"/>
              </w:rPr>
              <w:t>88.9</w:t>
            </w:r>
          </w:p>
        </w:tc>
        <w:tc>
          <w:tcPr>
            <w:tcW w:w="960" w:type="dxa"/>
          </w:tcPr>
          <w:p w14:paraId="7465CFA8" w14:textId="77777777" w:rsidR="002C52FF" w:rsidRPr="002C52FF" w:rsidRDefault="002C52FF" w:rsidP="002C52FF">
            <w:pPr>
              <w:rPr>
                <w:rFonts w:asciiTheme="majorHAnsi" w:hAnsiTheme="majorHAnsi" w:cstheme="majorHAnsi"/>
              </w:rPr>
            </w:pPr>
            <w:r w:rsidRPr="002C52FF">
              <w:rPr>
                <w:rFonts w:asciiTheme="majorHAnsi" w:hAnsiTheme="majorHAnsi" w:cstheme="majorHAnsi"/>
              </w:rPr>
              <w:t>91.4</w:t>
            </w:r>
          </w:p>
        </w:tc>
        <w:tc>
          <w:tcPr>
            <w:tcW w:w="960" w:type="dxa"/>
          </w:tcPr>
          <w:p w14:paraId="00DC5034" w14:textId="77777777" w:rsidR="002C52FF" w:rsidRPr="002C52FF" w:rsidRDefault="002C52FF" w:rsidP="002C52FF">
            <w:pPr>
              <w:rPr>
                <w:rFonts w:asciiTheme="majorHAnsi" w:hAnsiTheme="majorHAnsi" w:cstheme="majorHAnsi"/>
              </w:rPr>
            </w:pPr>
            <w:r w:rsidRPr="002C52FF">
              <w:rPr>
                <w:rFonts w:asciiTheme="majorHAnsi" w:hAnsiTheme="majorHAnsi" w:cstheme="majorHAnsi"/>
              </w:rPr>
              <w:t>92.2</w:t>
            </w:r>
          </w:p>
        </w:tc>
        <w:tc>
          <w:tcPr>
            <w:tcW w:w="960" w:type="dxa"/>
          </w:tcPr>
          <w:p w14:paraId="1EFD8B39" w14:textId="77777777" w:rsidR="002C52FF" w:rsidRPr="002C52FF" w:rsidRDefault="002C52FF" w:rsidP="002C52FF">
            <w:pPr>
              <w:rPr>
                <w:rFonts w:asciiTheme="majorHAnsi" w:hAnsiTheme="majorHAnsi" w:cstheme="majorHAnsi"/>
              </w:rPr>
            </w:pPr>
            <w:r w:rsidRPr="002C52FF">
              <w:rPr>
                <w:rFonts w:asciiTheme="majorHAnsi" w:hAnsiTheme="majorHAnsi" w:cstheme="majorHAnsi"/>
              </w:rPr>
              <w:t>3.2</w:t>
            </w:r>
          </w:p>
        </w:tc>
        <w:tc>
          <w:tcPr>
            <w:tcW w:w="960" w:type="dxa"/>
          </w:tcPr>
          <w:p w14:paraId="7FD2C340" w14:textId="77777777" w:rsidR="002C52FF" w:rsidRPr="002C52FF" w:rsidRDefault="002C52FF" w:rsidP="002C52FF">
            <w:pPr>
              <w:rPr>
                <w:rFonts w:asciiTheme="majorHAnsi" w:hAnsiTheme="majorHAnsi" w:cstheme="majorHAnsi"/>
              </w:rPr>
            </w:pPr>
            <w:r w:rsidRPr="002C52FF">
              <w:rPr>
                <w:rFonts w:asciiTheme="majorHAnsi" w:hAnsiTheme="majorHAnsi" w:cstheme="majorHAnsi"/>
              </w:rPr>
              <w:t>2.4</w:t>
            </w:r>
          </w:p>
        </w:tc>
        <w:tc>
          <w:tcPr>
            <w:tcW w:w="960" w:type="dxa"/>
          </w:tcPr>
          <w:p w14:paraId="539966C5" w14:textId="77777777" w:rsidR="002C52FF" w:rsidRPr="002C52FF" w:rsidRDefault="002C52FF" w:rsidP="002C52FF">
            <w:pPr>
              <w:rPr>
                <w:rFonts w:asciiTheme="majorHAnsi" w:hAnsiTheme="majorHAnsi" w:cstheme="majorHAnsi"/>
              </w:rPr>
            </w:pPr>
            <w:r w:rsidRPr="002C52FF">
              <w:rPr>
                <w:rFonts w:asciiTheme="majorHAnsi" w:hAnsiTheme="majorHAnsi" w:cstheme="majorHAnsi"/>
              </w:rPr>
              <w:t>5.0</w:t>
            </w:r>
          </w:p>
        </w:tc>
        <w:tc>
          <w:tcPr>
            <w:tcW w:w="960" w:type="dxa"/>
          </w:tcPr>
          <w:p w14:paraId="3F08872E" w14:textId="77777777" w:rsidR="002C52FF" w:rsidRPr="002C52FF" w:rsidRDefault="002C52FF" w:rsidP="002C52FF">
            <w:pPr>
              <w:rPr>
                <w:rFonts w:asciiTheme="majorHAnsi" w:hAnsiTheme="majorHAnsi" w:cstheme="majorHAnsi"/>
              </w:rPr>
            </w:pPr>
            <w:r w:rsidRPr="002C52FF">
              <w:rPr>
                <w:rFonts w:asciiTheme="majorHAnsi" w:hAnsiTheme="majorHAnsi" w:cstheme="majorHAnsi"/>
              </w:rPr>
              <w:t>3.8</w:t>
            </w:r>
          </w:p>
        </w:tc>
      </w:tr>
    </w:tbl>
    <w:p w14:paraId="533FBBD3" w14:textId="77777777" w:rsidR="002C52FF" w:rsidRPr="002C52FF" w:rsidRDefault="002C52FF" w:rsidP="002C52FF">
      <w:pPr>
        <w:spacing w:after="0"/>
        <w:rPr>
          <w:rFonts w:asciiTheme="majorHAnsi" w:hAnsiTheme="majorHAnsi" w:cstheme="majorHAnsi"/>
        </w:rPr>
      </w:pPr>
    </w:p>
    <w:p w14:paraId="1E0A55F0" w14:textId="4E23ECC9" w:rsidR="00A47FE6" w:rsidRPr="002C52FF" w:rsidRDefault="00810EE3" w:rsidP="002C52FF">
      <w:pPr>
        <w:spacing w:after="0"/>
        <w:rPr>
          <w:rFonts w:asciiTheme="majorHAnsi" w:hAnsiTheme="majorHAnsi" w:cstheme="majorHAnsi"/>
        </w:rPr>
      </w:pPr>
      <w:r w:rsidRPr="002C52FF">
        <w:rPr>
          <w:rFonts w:asciiTheme="majorHAnsi" w:hAnsiTheme="majorHAnsi" w:cstheme="majorHAnsi"/>
        </w:rPr>
        <w:t>Netflix exhibits strong financial discipline with consistent growth in both revenue and net income. Disney’s earnings fluctuate more due to broader business segments, while Amazon’s streaming performance is embedded within its massive overall operation, masking direct profitability from Prime Video.</w:t>
      </w:r>
    </w:p>
    <w:p w14:paraId="2342E840" w14:textId="77777777" w:rsidR="00A25A30" w:rsidRPr="002C52FF" w:rsidRDefault="00A25A30" w:rsidP="002C52FF">
      <w:pPr>
        <w:pStyle w:val="Heading2"/>
        <w:rPr>
          <w:rFonts w:cstheme="majorHAnsi"/>
          <w:sz w:val="22"/>
          <w:szCs w:val="22"/>
        </w:rPr>
      </w:pPr>
      <w:r w:rsidRPr="002C52FF">
        <w:rPr>
          <w:rFonts w:cstheme="majorHAnsi"/>
          <w:sz w:val="22"/>
          <w:szCs w:val="22"/>
        </w:rPr>
        <w:lastRenderedPageBreak/>
        <w:t>Financial Metrics (TTM as of March 31, 2025)</w:t>
      </w:r>
    </w:p>
    <w:tbl>
      <w:tblPr>
        <w:tblStyle w:val="TableGrid"/>
        <w:tblW w:w="0" w:type="auto"/>
        <w:tblLook w:val="04A0" w:firstRow="1" w:lastRow="0" w:firstColumn="1" w:lastColumn="0" w:noHBand="0" w:noVBand="1"/>
      </w:tblPr>
      <w:tblGrid>
        <w:gridCol w:w="1233"/>
        <w:gridCol w:w="1233"/>
        <w:gridCol w:w="1233"/>
        <w:gridCol w:w="1233"/>
        <w:gridCol w:w="1233"/>
        <w:gridCol w:w="1232"/>
        <w:gridCol w:w="1233"/>
      </w:tblGrid>
      <w:tr w:rsidR="00A26524" w:rsidRPr="002C52FF" w14:paraId="4902E2D5" w14:textId="77777777" w:rsidTr="00CD099C">
        <w:tc>
          <w:tcPr>
            <w:tcW w:w="1234" w:type="dxa"/>
            <w:vAlign w:val="center"/>
          </w:tcPr>
          <w:p w14:paraId="1980B5F8" w14:textId="64C023A3" w:rsidR="00A26524" w:rsidRPr="002C52FF" w:rsidRDefault="00A26524" w:rsidP="002C52FF">
            <w:pPr>
              <w:rPr>
                <w:rFonts w:asciiTheme="majorHAnsi" w:hAnsiTheme="majorHAnsi" w:cstheme="majorHAnsi"/>
              </w:rPr>
            </w:pPr>
            <w:r w:rsidRPr="002C52FF">
              <w:rPr>
                <w:rFonts w:asciiTheme="majorHAnsi" w:hAnsiTheme="majorHAnsi" w:cstheme="majorHAnsi"/>
                <w:b/>
                <w:bCs/>
              </w:rPr>
              <w:t>Company</w:t>
            </w:r>
          </w:p>
        </w:tc>
        <w:tc>
          <w:tcPr>
            <w:tcW w:w="1234" w:type="dxa"/>
            <w:vAlign w:val="center"/>
          </w:tcPr>
          <w:p w14:paraId="79D1A9BB" w14:textId="16E3B690" w:rsidR="00A26524" w:rsidRPr="002C52FF" w:rsidRDefault="00A26524" w:rsidP="002C52FF">
            <w:pPr>
              <w:rPr>
                <w:rFonts w:asciiTheme="majorHAnsi" w:hAnsiTheme="majorHAnsi" w:cstheme="majorHAnsi"/>
              </w:rPr>
            </w:pPr>
            <w:r w:rsidRPr="002C52FF">
              <w:rPr>
                <w:rFonts w:asciiTheme="majorHAnsi" w:hAnsiTheme="majorHAnsi" w:cstheme="majorHAnsi"/>
                <w:b/>
                <w:bCs/>
              </w:rPr>
              <w:t>Revenue ($B)</w:t>
            </w:r>
          </w:p>
        </w:tc>
        <w:tc>
          <w:tcPr>
            <w:tcW w:w="1234" w:type="dxa"/>
            <w:vAlign w:val="center"/>
          </w:tcPr>
          <w:p w14:paraId="7B696570" w14:textId="710B1D1E" w:rsidR="00A26524" w:rsidRPr="002C52FF" w:rsidRDefault="00A26524" w:rsidP="002C52FF">
            <w:pPr>
              <w:rPr>
                <w:rFonts w:asciiTheme="majorHAnsi" w:hAnsiTheme="majorHAnsi" w:cstheme="majorHAnsi"/>
              </w:rPr>
            </w:pPr>
            <w:r w:rsidRPr="002C52FF">
              <w:rPr>
                <w:rFonts w:asciiTheme="majorHAnsi" w:hAnsiTheme="majorHAnsi" w:cstheme="majorHAnsi"/>
                <w:b/>
                <w:bCs/>
              </w:rPr>
              <w:t>YoY Growth</w:t>
            </w:r>
          </w:p>
        </w:tc>
        <w:tc>
          <w:tcPr>
            <w:tcW w:w="1234" w:type="dxa"/>
            <w:vAlign w:val="center"/>
          </w:tcPr>
          <w:p w14:paraId="1565794B" w14:textId="1E860BF1" w:rsidR="00A26524" w:rsidRPr="002C52FF" w:rsidRDefault="00A26524" w:rsidP="002C52FF">
            <w:pPr>
              <w:rPr>
                <w:rFonts w:asciiTheme="majorHAnsi" w:hAnsiTheme="majorHAnsi" w:cstheme="majorHAnsi"/>
              </w:rPr>
            </w:pPr>
            <w:r w:rsidRPr="002C52FF">
              <w:rPr>
                <w:rFonts w:asciiTheme="majorHAnsi" w:hAnsiTheme="majorHAnsi" w:cstheme="majorHAnsi"/>
                <w:b/>
                <w:bCs/>
              </w:rPr>
              <w:t>Net Income ($B)</w:t>
            </w:r>
          </w:p>
        </w:tc>
        <w:tc>
          <w:tcPr>
            <w:tcW w:w="1234" w:type="dxa"/>
            <w:vAlign w:val="center"/>
          </w:tcPr>
          <w:p w14:paraId="70EAF29B" w14:textId="5F1EB7D7" w:rsidR="00A26524" w:rsidRPr="002C52FF" w:rsidRDefault="00A26524" w:rsidP="002C52FF">
            <w:pPr>
              <w:rPr>
                <w:rFonts w:asciiTheme="majorHAnsi" w:hAnsiTheme="majorHAnsi" w:cstheme="majorHAnsi"/>
              </w:rPr>
            </w:pPr>
            <w:r w:rsidRPr="002C52FF">
              <w:rPr>
                <w:rFonts w:asciiTheme="majorHAnsi" w:hAnsiTheme="majorHAnsi" w:cstheme="majorHAnsi"/>
                <w:b/>
                <w:bCs/>
              </w:rPr>
              <w:t>YoY Growth</w:t>
            </w:r>
          </w:p>
        </w:tc>
        <w:tc>
          <w:tcPr>
            <w:tcW w:w="1234" w:type="dxa"/>
            <w:vAlign w:val="center"/>
          </w:tcPr>
          <w:p w14:paraId="006A25A4" w14:textId="12A1F6D2" w:rsidR="00A26524" w:rsidRPr="002C52FF" w:rsidRDefault="00A26524" w:rsidP="002C52FF">
            <w:pPr>
              <w:rPr>
                <w:rFonts w:asciiTheme="majorHAnsi" w:hAnsiTheme="majorHAnsi" w:cstheme="majorHAnsi"/>
              </w:rPr>
            </w:pPr>
            <w:r w:rsidRPr="002C52FF">
              <w:rPr>
                <w:rFonts w:asciiTheme="majorHAnsi" w:hAnsiTheme="majorHAnsi" w:cstheme="majorHAnsi"/>
                <w:b/>
                <w:bCs/>
              </w:rPr>
              <w:t>Net Margin</w:t>
            </w:r>
          </w:p>
        </w:tc>
        <w:tc>
          <w:tcPr>
            <w:tcW w:w="1234" w:type="dxa"/>
            <w:vAlign w:val="center"/>
          </w:tcPr>
          <w:p w14:paraId="0332A57A" w14:textId="0C508E7D" w:rsidR="00A26524" w:rsidRPr="002C52FF" w:rsidRDefault="00A26524" w:rsidP="002C52FF">
            <w:pPr>
              <w:rPr>
                <w:rFonts w:asciiTheme="majorHAnsi" w:hAnsiTheme="majorHAnsi" w:cstheme="majorHAnsi"/>
              </w:rPr>
            </w:pPr>
            <w:r w:rsidRPr="002C52FF">
              <w:rPr>
                <w:rFonts w:asciiTheme="majorHAnsi" w:hAnsiTheme="majorHAnsi" w:cstheme="majorHAnsi"/>
                <w:b/>
                <w:bCs/>
              </w:rPr>
              <w:t>Company</w:t>
            </w:r>
          </w:p>
        </w:tc>
      </w:tr>
      <w:tr w:rsidR="00A26524" w:rsidRPr="002C52FF" w14:paraId="14E4A4F9" w14:textId="77777777" w:rsidTr="00CD099C">
        <w:tc>
          <w:tcPr>
            <w:tcW w:w="1234" w:type="dxa"/>
            <w:vAlign w:val="center"/>
          </w:tcPr>
          <w:p w14:paraId="0EC4DC7C" w14:textId="44F2E64D" w:rsidR="00A26524" w:rsidRPr="002C52FF" w:rsidRDefault="00A26524" w:rsidP="002C52FF">
            <w:pPr>
              <w:rPr>
                <w:rFonts w:asciiTheme="majorHAnsi" w:hAnsiTheme="majorHAnsi" w:cstheme="majorHAnsi"/>
              </w:rPr>
            </w:pPr>
            <w:r w:rsidRPr="002C52FF">
              <w:rPr>
                <w:rFonts w:asciiTheme="majorHAnsi" w:hAnsiTheme="majorHAnsi" w:cstheme="majorHAnsi"/>
              </w:rPr>
              <w:t>Netflix</w:t>
            </w:r>
          </w:p>
        </w:tc>
        <w:tc>
          <w:tcPr>
            <w:tcW w:w="1234" w:type="dxa"/>
            <w:vAlign w:val="center"/>
          </w:tcPr>
          <w:p w14:paraId="314B36C6" w14:textId="201F42AE" w:rsidR="00A26524" w:rsidRPr="002C52FF" w:rsidRDefault="00A26524" w:rsidP="002C52FF">
            <w:pPr>
              <w:rPr>
                <w:rFonts w:asciiTheme="majorHAnsi" w:hAnsiTheme="majorHAnsi" w:cstheme="majorHAnsi"/>
              </w:rPr>
            </w:pPr>
            <w:r w:rsidRPr="002C52FF">
              <w:rPr>
                <w:rFonts w:asciiTheme="majorHAnsi" w:hAnsiTheme="majorHAnsi" w:cstheme="majorHAnsi"/>
              </w:rPr>
              <w:t>40.5</w:t>
            </w:r>
          </w:p>
        </w:tc>
        <w:tc>
          <w:tcPr>
            <w:tcW w:w="1234" w:type="dxa"/>
            <w:vAlign w:val="center"/>
          </w:tcPr>
          <w:p w14:paraId="2D810679" w14:textId="45923E57" w:rsidR="00A26524" w:rsidRPr="002C52FF" w:rsidRDefault="00A26524" w:rsidP="002C52FF">
            <w:pPr>
              <w:rPr>
                <w:rFonts w:asciiTheme="majorHAnsi" w:hAnsiTheme="majorHAnsi" w:cstheme="majorHAnsi"/>
              </w:rPr>
            </w:pPr>
            <w:r w:rsidRPr="002C52FF">
              <w:rPr>
                <w:rFonts w:asciiTheme="majorHAnsi" w:hAnsiTheme="majorHAnsi" w:cstheme="majorHAnsi"/>
              </w:rPr>
              <w:t>+7.7%</w:t>
            </w:r>
          </w:p>
        </w:tc>
        <w:tc>
          <w:tcPr>
            <w:tcW w:w="1234" w:type="dxa"/>
            <w:vAlign w:val="center"/>
          </w:tcPr>
          <w:p w14:paraId="49E220CE" w14:textId="24B62D40" w:rsidR="00A26524" w:rsidRPr="002C52FF" w:rsidRDefault="00A26524" w:rsidP="002C52FF">
            <w:pPr>
              <w:rPr>
                <w:rFonts w:asciiTheme="majorHAnsi" w:hAnsiTheme="majorHAnsi" w:cstheme="majorHAnsi"/>
              </w:rPr>
            </w:pPr>
            <w:r w:rsidRPr="002C52FF">
              <w:rPr>
                <w:rFonts w:asciiTheme="majorHAnsi" w:hAnsiTheme="majorHAnsi" w:cstheme="majorHAnsi"/>
              </w:rPr>
              <w:t>6.1</w:t>
            </w:r>
          </w:p>
        </w:tc>
        <w:tc>
          <w:tcPr>
            <w:tcW w:w="1234" w:type="dxa"/>
            <w:vAlign w:val="center"/>
          </w:tcPr>
          <w:p w14:paraId="0311584E" w14:textId="2BFD8901" w:rsidR="00A26524" w:rsidRPr="002C52FF" w:rsidRDefault="00A26524" w:rsidP="002C52FF">
            <w:pPr>
              <w:rPr>
                <w:rFonts w:asciiTheme="majorHAnsi" w:hAnsiTheme="majorHAnsi" w:cstheme="majorHAnsi"/>
              </w:rPr>
            </w:pPr>
            <w:r w:rsidRPr="002C52FF">
              <w:rPr>
                <w:rFonts w:asciiTheme="majorHAnsi" w:hAnsiTheme="majorHAnsi" w:cstheme="majorHAnsi"/>
              </w:rPr>
              <w:t>+13.0%</w:t>
            </w:r>
          </w:p>
        </w:tc>
        <w:tc>
          <w:tcPr>
            <w:tcW w:w="1234" w:type="dxa"/>
            <w:vAlign w:val="center"/>
          </w:tcPr>
          <w:p w14:paraId="4B75572A" w14:textId="48E9D142" w:rsidR="00A26524" w:rsidRPr="002C52FF" w:rsidRDefault="00A26524" w:rsidP="002C52FF">
            <w:pPr>
              <w:rPr>
                <w:rFonts w:asciiTheme="majorHAnsi" w:hAnsiTheme="majorHAnsi" w:cstheme="majorHAnsi"/>
              </w:rPr>
            </w:pPr>
            <w:r w:rsidRPr="002C52FF">
              <w:rPr>
                <w:rFonts w:asciiTheme="majorHAnsi" w:hAnsiTheme="majorHAnsi" w:cstheme="majorHAnsi"/>
              </w:rPr>
              <w:t>~15.1%</w:t>
            </w:r>
          </w:p>
        </w:tc>
        <w:tc>
          <w:tcPr>
            <w:tcW w:w="1234" w:type="dxa"/>
            <w:vAlign w:val="center"/>
          </w:tcPr>
          <w:p w14:paraId="6F9DD441" w14:textId="3660B5EF" w:rsidR="00A26524" w:rsidRPr="002C52FF" w:rsidRDefault="00A26524" w:rsidP="002C52FF">
            <w:pPr>
              <w:rPr>
                <w:rFonts w:asciiTheme="majorHAnsi" w:hAnsiTheme="majorHAnsi" w:cstheme="majorHAnsi"/>
              </w:rPr>
            </w:pPr>
            <w:r w:rsidRPr="002C52FF">
              <w:rPr>
                <w:rFonts w:asciiTheme="majorHAnsi" w:hAnsiTheme="majorHAnsi" w:cstheme="majorHAnsi"/>
              </w:rPr>
              <w:t>Netflix</w:t>
            </w:r>
          </w:p>
        </w:tc>
      </w:tr>
      <w:tr w:rsidR="00A26524" w:rsidRPr="002C52FF" w14:paraId="42971237" w14:textId="77777777" w:rsidTr="00CD099C">
        <w:tc>
          <w:tcPr>
            <w:tcW w:w="1234" w:type="dxa"/>
            <w:vAlign w:val="center"/>
          </w:tcPr>
          <w:p w14:paraId="2299928A" w14:textId="01570498" w:rsidR="00A26524" w:rsidRPr="002C52FF" w:rsidRDefault="00A26524" w:rsidP="002C52FF">
            <w:pPr>
              <w:rPr>
                <w:rFonts w:asciiTheme="majorHAnsi" w:hAnsiTheme="majorHAnsi" w:cstheme="majorHAnsi"/>
              </w:rPr>
            </w:pPr>
            <w:r w:rsidRPr="002C52FF">
              <w:rPr>
                <w:rFonts w:asciiTheme="majorHAnsi" w:hAnsiTheme="majorHAnsi" w:cstheme="majorHAnsi"/>
              </w:rPr>
              <w:t>Amazon</w:t>
            </w:r>
          </w:p>
        </w:tc>
        <w:tc>
          <w:tcPr>
            <w:tcW w:w="1234" w:type="dxa"/>
            <w:vAlign w:val="center"/>
          </w:tcPr>
          <w:p w14:paraId="789786CE" w14:textId="35B593F8" w:rsidR="00A26524" w:rsidRPr="002C52FF" w:rsidRDefault="00A26524" w:rsidP="002C52FF">
            <w:pPr>
              <w:rPr>
                <w:rFonts w:asciiTheme="majorHAnsi" w:hAnsiTheme="majorHAnsi" w:cstheme="majorHAnsi"/>
              </w:rPr>
            </w:pPr>
            <w:r w:rsidRPr="002C52FF">
              <w:rPr>
                <w:rFonts w:asciiTheme="majorHAnsi" w:hAnsiTheme="majorHAnsi" w:cstheme="majorHAnsi"/>
              </w:rPr>
              <w:t>610.5</w:t>
            </w:r>
          </w:p>
        </w:tc>
        <w:tc>
          <w:tcPr>
            <w:tcW w:w="1234" w:type="dxa"/>
            <w:vAlign w:val="center"/>
          </w:tcPr>
          <w:p w14:paraId="681B8265" w14:textId="4D35F7E5" w:rsidR="00A26524" w:rsidRPr="002C52FF" w:rsidRDefault="00A26524" w:rsidP="002C52FF">
            <w:pPr>
              <w:rPr>
                <w:rFonts w:asciiTheme="majorHAnsi" w:hAnsiTheme="majorHAnsi" w:cstheme="majorHAnsi"/>
              </w:rPr>
            </w:pPr>
            <w:r w:rsidRPr="002C52FF">
              <w:rPr>
                <w:rFonts w:asciiTheme="majorHAnsi" w:hAnsiTheme="majorHAnsi" w:cstheme="majorHAnsi"/>
              </w:rPr>
              <w:t>+6.2%</w:t>
            </w:r>
          </w:p>
        </w:tc>
        <w:tc>
          <w:tcPr>
            <w:tcW w:w="1234" w:type="dxa"/>
            <w:vAlign w:val="center"/>
          </w:tcPr>
          <w:p w14:paraId="02665CBF" w14:textId="3BE20BDB" w:rsidR="00A26524" w:rsidRPr="002C52FF" w:rsidRDefault="00A26524" w:rsidP="002C52FF">
            <w:pPr>
              <w:rPr>
                <w:rFonts w:asciiTheme="majorHAnsi" w:hAnsiTheme="majorHAnsi" w:cstheme="majorHAnsi"/>
              </w:rPr>
            </w:pPr>
            <w:r w:rsidRPr="002C52FF">
              <w:rPr>
                <w:rFonts w:asciiTheme="majorHAnsi" w:hAnsiTheme="majorHAnsi" w:cstheme="majorHAnsi"/>
              </w:rPr>
              <w:t>37.4</w:t>
            </w:r>
          </w:p>
        </w:tc>
        <w:tc>
          <w:tcPr>
            <w:tcW w:w="1234" w:type="dxa"/>
            <w:vAlign w:val="center"/>
          </w:tcPr>
          <w:p w14:paraId="2C00CF20" w14:textId="5A3F444D" w:rsidR="00A26524" w:rsidRPr="002C52FF" w:rsidRDefault="00A26524" w:rsidP="002C52FF">
            <w:pPr>
              <w:rPr>
                <w:rFonts w:asciiTheme="majorHAnsi" w:hAnsiTheme="majorHAnsi" w:cstheme="majorHAnsi"/>
              </w:rPr>
            </w:pPr>
            <w:r w:rsidRPr="002C52FF">
              <w:rPr>
                <w:rFonts w:asciiTheme="majorHAnsi" w:hAnsiTheme="majorHAnsi" w:cstheme="majorHAnsi"/>
              </w:rPr>
              <w:t>+23.0%</w:t>
            </w:r>
          </w:p>
        </w:tc>
        <w:tc>
          <w:tcPr>
            <w:tcW w:w="1234" w:type="dxa"/>
            <w:vAlign w:val="center"/>
          </w:tcPr>
          <w:p w14:paraId="3616B9E6" w14:textId="5DCB618B" w:rsidR="00A26524" w:rsidRPr="002C52FF" w:rsidRDefault="00A26524" w:rsidP="002C52FF">
            <w:pPr>
              <w:rPr>
                <w:rFonts w:asciiTheme="majorHAnsi" w:hAnsiTheme="majorHAnsi" w:cstheme="majorHAnsi"/>
              </w:rPr>
            </w:pPr>
            <w:r w:rsidRPr="002C52FF">
              <w:rPr>
                <w:rFonts w:asciiTheme="majorHAnsi" w:hAnsiTheme="majorHAnsi" w:cstheme="majorHAnsi"/>
              </w:rPr>
              <w:t>~6.1%</w:t>
            </w:r>
          </w:p>
        </w:tc>
        <w:tc>
          <w:tcPr>
            <w:tcW w:w="1234" w:type="dxa"/>
            <w:vAlign w:val="center"/>
          </w:tcPr>
          <w:p w14:paraId="20E66AAC" w14:textId="0BA46089" w:rsidR="00A26524" w:rsidRPr="002C52FF" w:rsidRDefault="00A26524" w:rsidP="002C52FF">
            <w:pPr>
              <w:rPr>
                <w:rFonts w:asciiTheme="majorHAnsi" w:hAnsiTheme="majorHAnsi" w:cstheme="majorHAnsi"/>
              </w:rPr>
            </w:pPr>
            <w:r w:rsidRPr="002C52FF">
              <w:rPr>
                <w:rFonts w:asciiTheme="majorHAnsi" w:hAnsiTheme="majorHAnsi" w:cstheme="majorHAnsi"/>
              </w:rPr>
              <w:t>Amazon</w:t>
            </w:r>
          </w:p>
        </w:tc>
      </w:tr>
      <w:tr w:rsidR="00A26524" w:rsidRPr="002C52FF" w14:paraId="4829CDFB" w14:textId="77777777" w:rsidTr="00CD099C">
        <w:tc>
          <w:tcPr>
            <w:tcW w:w="1234" w:type="dxa"/>
            <w:vAlign w:val="center"/>
          </w:tcPr>
          <w:p w14:paraId="38A297A1" w14:textId="00BDC7BD" w:rsidR="00A26524" w:rsidRPr="002C52FF" w:rsidRDefault="00A26524" w:rsidP="002C52FF">
            <w:pPr>
              <w:rPr>
                <w:rFonts w:asciiTheme="majorHAnsi" w:hAnsiTheme="majorHAnsi" w:cstheme="majorHAnsi"/>
              </w:rPr>
            </w:pPr>
            <w:r w:rsidRPr="002C52FF">
              <w:rPr>
                <w:rFonts w:asciiTheme="majorHAnsi" w:hAnsiTheme="majorHAnsi" w:cstheme="majorHAnsi"/>
              </w:rPr>
              <w:t>Disney</w:t>
            </w:r>
          </w:p>
        </w:tc>
        <w:tc>
          <w:tcPr>
            <w:tcW w:w="1234" w:type="dxa"/>
            <w:vAlign w:val="center"/>
          </w:tcPr>
          <w:p w14:paraId="509FD88C" w14:textId="3247EF4E" w:rsidR="00A26524" w:rsidRPr="002C52FF" w:rsidRDefault="00A26524" w:rsidP="002C52FF">
            <w:pPr>
              <w:rPr>
                <w:rFonts w:asciiTheme="majorHAnsi" w:hAnsiTheme="majorHAnsi" w:cstheme="majorHAnsi"/>
              </w:rPr>
            </w:pPr>
            <w:r w:rsidRPr="002C52FF">
              <w:rPr>
                <w:rFonts w:asciiTheme="majorHAnsi" w:hAnsiTheme="majorHAnsi" w:cstheme="majorHAnsi"/>
              </w:rPr>
              <w:t>92.2</w:t>
            </w:r>
          </w:p>
        </w:tc>
        <w:tc>
          <w:tcPr>
            <w:tcW w:w="1234" w:type="dxa"/>
            <w:vAlign w:val="center"/>
          </w:tcPr>
          <w:p w14:paraId="1F4363A1" w14:textId="7C7EAF00" w:rsidR="00A26524" w:rsidRPr="002C52FF" w:rsidRDefault="00A26524" w:rsidP="002C52FF">
            <w:pPr>
              <w:rPr>
                <w:rFonts w:asciiTheme="majorHAnsi" w:hAnsiTheme="majorHAnsi" w:cstheme="majorHAnsi"/>
              </w:rPr>
            </w:pPr>
            <w:r w:rsidRPr="002C52FF">
              <w:rPr>
                <w:rFonts w:asciiTheme="majorHAnsi" w:hAnsiTheme="majorHAnsi" w:cstheme="majorHAnsi"/>
              </w:rPr>
              <w:t>+3.7%</w:t>
            </w:r>
          </w:p>
        </w:tc>
        <w:tc>
          <w:tcPr>
            <w:tcW w:w="1234" w:type="dxa"/>
            <w:vAlign w:val="center"/>
          </w:tcPr>
          <w:p w14:paraId="7751D91F" w14:textId="35E7F316" w:rsidR="00A26524" w:rsidRPr="002C52FF" w:rsidRDefault="00A26524" w:rsidP="002C52FF">
            <w:pPr>
              <w:rPr>
                <w:rFonts w:asciiTheme="majorHAnsi" w:hAnsiTheme="majorHAnsi" w:cstheme="majorHAnsi"/>
              </w:rPr>
            </w:pPr>
            <w:r w:rsidRPr="002C52FF">
              <w:rPr>
                <w:rFonts w:asciiTheme="majorHAnsi" w:hAnsiTheme="majorHAnsi" w:cstheme="majorHAnsi"/>
              </w:rPr>
              <w:t>3.8</w:t>
            </w:r>
          </w:p>
        </w:tc>
        <w:tc>
          <w:tcPr>
            <w:tcW w:w="1234" w:type="dxa"/>
            <w:vAlign w:val="center"/>
          </w:tcPr>
          <w:p w14:paraId="1A037EF6" w14:textId="30B73F76" w:rsidR="00A26524" w:rsidRPr="002C52FF" w:rsidRDefault="00A26524" w:rsidP="002C52FF">
            <w:pPr>
              <w:rPr>
                <w:rFonts w:asciiTheme="majorHAnsi" w:hAnsiTheme="majorHAnsi" w:cstheme="majorHAnsi"/>
              </w:rPr>
            </w:pPr>
            <w:r w:rsidRPr="002C52FF">
              <w:rPr>
                <w:rFonts w:asciiTheme="majorHAnsi" w:hAnsiTheme="majorHAnsi" w:cstheme="majorHAnsi"/>
              </w:rPr>
              <w:t>+58.3%</w:t>
            </w:r>
          </w:p>
        </w:tc>
        <w:tc>
          <w:tcPr>
            <w:tcW w:w="1234" w:type="dxa"/>
            <w:vAlign w:val="center"/>
          </w:tcPr>
          <w:p w14:paraId="132A7139" w14:textId="0734B78B" w:rsidR="00A26524" w:rsidRPr="002C52FF" w:rsidRDefault="00A26524" w:rsidP="002C52FF">
            <w:pPr>
              <w:rPr>
                <w:rFonts w:asciiTheme="majorHAnsi" w:hAnsiTheme="majorHAnsi" w:cstheme="majorHAnsi"/>
              </w:rPr>
            </w:pPr>
            <w:r w:rsidRPr="002C52FF">
              <w:rPr>
                <w:rFonts w:asciiTheme="majorHAnsi" w:hAnsiTheme="majorHAnsi" w:cstheme="majorHAnsi"/>
              </w:rPr>
              <w:t>~4.1%</w:t>
            </w:r>
          </w:p>
        </w:tc>
        <w:tc>
          <w:tcPr>
            <w:tcW w:w="1234" w:type="dxa"/>
            <w:vAlign w:val="center"/>
          </w:tcPr>
          <w:p w14:paraId="5E46409E" w14:textId="03EFF113" w:rsidR="00A26524" w:rsidRPr="002C52FF" w:rsidRDefault="00A26524" w:rsidP="002C52FF">
            <w:pPr>
              <w:rPr>
                <w:rFonts w:asciiTheme="majorHAnsi" w:hAnsiTheme="majorHAnsi" w:cstheme="majorHAnsi"/>
              </w:rPr>
            </w:pPr>
            <w:r w:rsidRPr="002C52FF">
              <w:rPr>
                <w:rFonts w:asciiTheme="majorHAnsi" w:hAnsiTheme="majorHAnsi" w:cstheme="majorHAnsi"/>
              </w:rPr>
              <w:t>Disney</w:t>
            </w:r>
          </w:p>
        </w:tc>
      </w:tr>
    </w:tbl>
    <w:p w14:paraId="6AC1888B" w14:textId="77777777" w:rsidR="00810EE3" w:rsidRPr="002C52FF" w:rsidRDefault="00810EE3" w:rsidP="002C52FF">
      <w:pPr>
        <w:spacing w:after="0"/>
        <w:rPr>
          <w:rFonts w:asciiTheme="majorHAnsi" w:hAnsiTheme="majorHAnsi" w:cstheme="majorHAnsi"/>
        </w:rPr>
      </w:pPr>
    </w:p>
    <w:p w14:paraId="45DE4153" w14:textId="77777777" w:rsidR="00A47FE6" w:rsidRPr="002C52FF" w:rsidRDefault="00A47FE6" w:rsidP="002C52FF">
      <w:pPr>
        <w:spacing w:after="0"/>
        <w:rPr>
          <w:rFonts w:asciiTheme="majorHAnsi" w:hAnsiTheme="majorHAnsi" w:cstheme="majorHAnsi"/>
        </w:rPr>
      </w:pPr>
      <w:r w:rsidRPr="002C52FF">
        <w:rPr>
          <w:rFonts w:asciiTheme="majorHAnsi" w:hAnsiTheme="majorHAnsi" w:cstheme="majorHAnsi"/>
          <w:b/>
          <w:bCs/>
        </w:rPr>
        <w:t>1. Revenue &amp; Scale</w:t>
      </w:r>
      <w:r w:rsidRPr="002C52FF">
        <w:rPr>
          <w:rFonts w:asciiTheme="majorHAnsi" w:hAnsiTheme="majorHAnsi" w:cstheme="majorHAnsi"/>
        </w:rPr>
        <w:br/>
        <w:t>Amazon, as a diversified tech giant, generates significantly higher revenue, of which Prime Video is a small but growing segment. Netflix remains the leading pure-play streaming company, while Disney+ benefits from its integration with a broader media empire.</w:t>
      </w:r>
    </w:p>
    <w:p w14:paraId="7A7CE976" w14:textId="77777777" w:rsidR="00A47FE6" w:rsidRPr="002C52FF" w:rsidRDefault="00A47FE6" w:rsidP="002C52FF">
      <w:pPr>
        <w:spacing w:after="0"/>
        <w:rPr>
          <w:rFonts w:asciiTheme="majorHAnsi" w:hAnsiTheme="majorHAnsi" w:cstheme="majorHAnsi"/>
        </w:rPr>
      </w:pPr>
      <w:r w:rsidRPr="002C52FF">
        <w:rPr>
          <w:rFonts w:asciiTheme="majorHAnsi" w:hAnsiTheme="majorHAnsi" w:cstheme="majorHAnsi"/>
          <w:b/>
          <w:bCs/>
        </w:rPr>
        <w:t>2. Profitability Efficiency</w:t>
      </w:r>
      <w:r w:rsidRPr="002C52FF">
        <w:rPr>
          <w:rFonts w:asciiTheme="majorHAnsi" w:hAnsiTheme="majorHAnsi" w:cstheme="majorHAnsi"/>
        </w:rPr>
        <w:br/>
        <w:t>Netflix exhibits strong net margins as a standalone streamer. Amazon's profitability is driven by AWS and retail, not streaming alone. Disney+ operates at thinner margins due to high content investment and bundling with Hulu and ESPN+.</w:t>
      </w:r>
    </w:p>
    <w:p w14:paraId="25154BAE" w14:textId="77777777" w:rsidR="00A47FE6" w:rsidRPr="002C52FF" w:rsidRDefault="00A47FE6" w:rsidP="002C52FF">
      <w:pPr>
        <w:spacing w:after="0"/>
        <w:rPr>
          <w:rFonts w:asciiTheme="majorHAnsi" w:hAnsiTheme="majorHAnsi" w:cstheme="majorHAnsi"/>
        </w:rPr>
      </w:pPr>
      <w:r w:rsidRPr="002C52FF">
        <w:rPr>
          <w:rFonts w:asciiTheme="majorHAnsi" w:hAnsiTheme="majorHAnsi" w:cstheme="majorHAnsi"/>
          <w:b/>
          <w:bCs/>
        </w:rPr>
        <w:t>3. Growth Trends &amp; Stability</w:t>
      </w:r>
      <w:r w:rsidRPr="002C52FF">
        <w:rPr>
          <w:rFonts w:asciiTheme="majorHAnsi" w:hAnsiTheme="majorHAnsi" w:cstheme="majorHAnsi"/>
        </w:rPr>
        <w:br/>
        <w:t>Netflix continues its upward trajectory in both revenue and net income, reflecting global expansion and improved monetization. Amazon has posted substantial earnings growth, mostly outside of entertainment. Disney+ rebounded in 2025 after a dip in 2023, signaling better operational balance.</w:t>
      </w:r>
    </w:p>
    <w:p w14:paraId="3D0516C5" w14:textId="77777777" w:rsidR="00A47FE6" w:rsidRPr="002C52FF" w:rsidRDefault="00A47FE6" w:rsidP="002C52FF">
      <w:pPr>
        <w:spacing w:after="0"/>
        <w:rPr>
          <w:rFonts w:asciiTheme="majorHAnsi" w:hAnsiTheme="majorHAnsi" w:cstheme="majorHAnsi"/>
        </w:rPr>
      </w:pPr>
      <w:r w:rsidRPr="002C52FF">
        <w:rPr>
          <w:rFonts w:asciiTheme="majorHAnsi" w:hAnsiTheme="majorHAnsi" w:cstheme="majorHAnsi"/>
          <w:b/>
          <w:bCs/>
        </w:rPr>
        <w:t>4. Stock Valuation &amp; Market Sentiment</w:t>
      </w:r>
      <w:r w:rsidRPr="002C52FF">
        <w:rPr>
          <w:rFonts w:asciiTheme="majorHAnsi" w:hAnsiTheme="majorHAnsi" w:cstheme="majorHAnsi"/>
        </w:rPr>
        <w:br/>
        <w:t>Netflix trades at a premium P/E, supported by consistent growth. Amazon's valuation reflects its dominant e-commerce and cloud businesses. Disney's valuation remains tied to overall media performance, theme parks, and streaming strategy shifts.</w:t>
      </w:r>
    </w:p>
    <w:p w14:paraId="07476520" w14:textId="77777777" w:rsidR="00A47FE6" w:rsidRPr="002C52FF" w:rsidRDefault="00A47FE6" w:rsidP="002C52FF">
      <w:pPr>
        <w:spacing w:after="0"/>
        <w:rPr>
          <w:rFonts w:asciiTheme="majorHAnsi" w:hAnsiTheme="majorHAnsi" w:cstheme="majorHAnsi"/>
        </w:rPr>
      </w:pPr>
      <w:r w:rsidRPr="002C52FF">
        <w:rPr>
          <w:rFonts w:asciiTheme="majorHAnsi" w:hAnsiTheme="majorHAnsi" w:cstheme="majorHAnsi"/>
          <w:b/>
          <w:bCs/>
        </w:rPr>
        <w:t>5. Volatility &amp; Risk Factors</w:t>
      </w:r>
      <w:r w:rsidRPr="002C52FF">
        <w:rPr>
          <w:rFonts w:asciiTheme="majorHAnsi" w:hAnsiTheme="majorHAnsi" w:cstheme="majorHAnsi"/>
        </w:rPr>
        <w:br/>
        <w:t>Netflix faces competition and content cost inflation. Amazon's entertainment division competes as a bundled benefit, reducing ARPU clarity. Disney continues restructuring efforts and cost controls amid shifting content consumption patterns.</w:t>
      </w:r>
    </w:p>
    <w:p w14:paraId="58FF4322" w14:textId="77777777" w:rsidR="00A47FE6" w:rsidRPr="002C52FF" w:rsidRDefault="00A47FE6" w:rsidP="002C52FF">
      <w:pPr>
        <w:spacing w:after="0"/>
        <w:rPr>
          <w:rFonts w:asciiTheme="majorHAnsi" w:hAnsiTheme="majorHAnsi" w:cstheme="majorHAnsi"/>
        </w:rPr>
      </w:pPr>
      <w:r w:rsidRPr="002C52FF">
        <w:rPr>
          <w:rFonts w:asciiTheme="majorHAnsi" w:hAnsiTheme="majorHAnsi" w:cstheme="majorHAnsi"/>
          <w:b/>
          <w:bCs/>
        </w:rPr>
        <w:t>6. Future Prospects</w:t>
      </w:r>
      <w:r w:rsidRPr="002C52FF">
        <w:rPr>
          <w:rFonts w:asciiTheme="majorHAnsi" w:hAnsiTheme="majorHAnsi" w:cstheme="majorHAnsi"/>
        </w:rPr>
        <w:br/>
        <w:t>Netflix aims to diversify into games and advertising-supported tiers. Amazon Prime Video will benefit from its global reach and infrastructure. Disney+ is expected to streamline operations and expand internationally, focusing on core franchises.</w:t>
      </w:r>
    </w:p>
    <w:p w14:paraId="0FDDCA9B" w14:textId="77777777" w:rsidR="00347C82" w:rsidRDefault="00347C82" w:rsidP="002C52FF">
      <w:pPr>
        <w:spacing w:after="0"/>
        <w:rPr>
          <w:rFonts w:asciiTheme="majorHAnsi" w:hAnsiTheme="majorHAnsi" w:cstheme="majorHAnsi"/>
          <w:b/>
          <w:bCs/>
        </w:rPr>
      </w:pPr>
    </w:p>
    <w:p w14:paraId="69EEA3DF" w14:textId="685494CF" w:rsidR="00A47FE6" w:rsidRDefault="00A47FE6" w:rsidP="002C52FF">
      <w:pPr>
        <w:spacing w:after="0"/>
        <w:rPr>
          <w:rFonts w:asciiTheme="majorHAnsi" w:hAnsiTheme="majorHAnsi" w:cstheme="majorHAnsi"/>
          <w:b/>
          <w:bCs/>
        </w:rPr>
      </w:pPr>
      <w:r w:rsidRPr="002C52FF">
        <w:rPr>
          <w:rFonts w:asciiTheme="majorHAnsi" w:hAnsiTheme="majorHAnsi" w:cstheme="majorHAnsi"/>
          <w:b/>
          <w:bCs/>
        </w:rPr>
        <w:t>Netflix leads as a standalone streaming entity with solid profitability and growth. Amazon's strength lies in its ecosystem advantage, though direct entertainment profitability is less clear. Disney+ shows signs of recovery and potential, but must balance profitability with aggressive content strategy.</w:t>
      </w:r>
    </w:p>
    <w:p w14:paraId="504D628D" w14:textId="77777777" w:rsidR="002C52FF" w:rsidRDefault="002C52FF" w:rsidP="002C52FF">
      <w:pPr>
        <w:spacing w:after="0"/>
        <w:rPr>
          <w:rFonts w:asciiTheme="majorHAnsi" w:hAnsiTheme="majorHAnsi" w:cstheme="majorHAnsi"/>
          <w:b/>
          <w:bCs/>
        </w:rPr>
      </w:pPr>
    </w:p>
    <w:p w14:paraId="5023DD32" w14:textId="77777777" w:rsidR="002C52FF" w:rsidRPr="002C52FF" w:rsidRDefault="002C52FF" w:rsidP="002C52FF">
      <w:pPr>
        <w:spacing w:after="0"/>
        <w:rPr>
          <w:rFonts w:asciiTheme="majorHAnsi" w:hAnsiTheme="majorHAnsi" w:cstheme="majorHAnsi"/>
          <w:b/>
          <w:bCs/>
        </w:rPr>
      </w:pPr>
    </w:p>
    <w:p w14:paraId="3F3A6845" w14:textId="677734EC" w:rsidR="0056677C" w:rsidRPr="002C52FF" w:rsidRDefault="0056677C" w:rsidP="002C52FF">
      <w:pPr>
        <w:pStyle w:val="Heading2"/>
        <w:rPr>
          <w:rFonts w:cstheme="majorHAnsi"/>
          <w:b w:val="0"/>
          <w:bCs w:val="0"/>
          <w:color w:val="000000" w:themeColor="text1"/>
          <w:sz w:val="22"/>
          <w:szCs w:val="22"/>
        </w:rPr>
      </w:pPr>
      <w:r w:rsidRPr="002C52FF">
        <w:rPr>
          <w:rFonts w:cstheme="majorHAnsi"/>
          <w:sz w:val="22"/>
          <w:szCs w:val="22"/>
        </w:rPr>
        <w:lastRenderedPageBreak/>
        <w:t>4. Semiconductors</w:t>
      </w:r>
    </w:p>
    <w:p w14:paraId="072A0B28" w14:textId="77777777" w:rsidR="006870C2" w:rsidRPr="002C52FF" w:rsidRDefault="006870C2" w:rsidP="002C52FF">
      <w:pPr>
        <w:pStyle w:val="Heading2"/>
        <w:rPr>
          <w:rFonts w:cstheme="majorHAnsi"/>
          <w:sz w:val="22"/>
          <w:szCs w:val="22"/>
        </w:rPr>
      </w:pPr>
      <w:r w:rsidRPr="002C52FF">
        <w:rPr>
          <w:rFonts w:cstheme="majorHAnsi"/>
          <w:sz w:val="22"/>
          <w:szCs w:val="22"/>
        </w:rPr>
        <w:t>Financial Performance (2022–2025, TTM)</w:t>
      </w:r>
    </w:p>
    <w:tbl>
      <w:tblPr>
        <w:tblStyle w:val="TableGrid"/>
        <w:tblW w:w="0" w:type="auto"/>
        <w:tblLook w:val="04A0" w:firstRow="1" w:lastRow="0" w:firstColumn="1" w:lastColumn="0" w:noHBand="0" w:noVBand="1"/>
      </w:tblPr>
      <w:tblGrid>
        <w:gridCol w:w="1186"/>
        <w:gridCol w:w="986"/>
        <w:gridCol w:w="986"/>
        <w:gridCol w:w="986"/>
        <w:gridCol w:w="986"/>
        <w:gridCol w:w="875"/>
        <w:gridCol w:w="875"/>
        <w:gridCol w:w="875"/>
        <w:gridCol w:w="875"/>
      </w:tblGrid>
      <w:tr w:rsidR="00612AE6" w:rsidRPr="002C52FF" w14:paraId="17EAD6E4" w14:textId="77777777" w:rsidTr="00AA4511">
        <w:tc>
          <w:tcPr>
            <w:tcW w:w="960" w:type="dxa"/>
          </w:tcPr>
          <w:p w14:paraId="2C02D004"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Company</w:t>
            </w:r>
          </w:p>
        </w:tc>
        <w:tc>
          <w:tcPr>
            <w:tcW w:w="960" w:type="dxa"/>
          </w:tcPr>
          <w:p w14:paraId="02F2E720"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2022 Revenue ($B)</w:t>
            </w:r>
          </w:p>
        </w:tc>
        <w:tc>
          <w:tcPr>
            <w:tcW w:w="960" w:type="dxa"/>
          </w:tcPr>
          <w:p w14:paraId="3B99568C"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2023 Revenue ($B)</w:t>
            </w:r>
          </w:p>
        </w:tc>
        <w:tc>
          <w:tcPr>
            <w:tcW w:w="960" w:type="dxa"/>
          </w:tcPr>
          <w:p w14:paraId="0499FAE1"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2024 Revenue ($B)</w:t>
            </w:r>
          </w:p>
        </w:tc>
        <w:tc>
          <w:tcPr>
            <w:tcW w:w="960" w:type="dxa"/>
          </w:tcPr>
          <w:p w14:paraId="223A2ED4"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2025 Revenue ($B, TTM)</w:t>
            </w:r>
          </w:p>
        </w:tc>
        <w:tc>
          <w:tcPr>
            <w:tcW w:w="960" w:type="dxa"/>
          </w:tcPr>
          <w:p w14:paraId="2D23517C"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2022 Net Income ($B)</w:t>
            </w:r>
          </w:p>
        </w:tc>
        <w:tc>
          <w:tcPr>
            <w:tcW w:w="960" w:type="dxa"/>
          </w:tcPr>
          <w:p w14:paraId="3EF9CD0D"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2023 Net Income ($B)</w:t>
            </w:r>
          </w:p>
        </w:tc>
        <w:tc>
          <w:tcPr>
            <w:tcW w:w="960" w:type="dxa"/>
          </w:tcPr>
          <w:p w14:paraId="103C3EBF"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2024 Net Income ($B)</w:t>
            </w:r>
          </w:p>
        </w:tc>
        <w:tc>
          <w:tcPr>
            <w:tcW w:w="960" w:type="dxa"/>
          </w:tcPr>
          <w:p w14:paraId="723FE2C0"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2025 Net Income ($B)</w:t>
            </w:r>
          </w:p>
        </w:tc>
      </w:tr>
      <w:tr w:rsidR="00612AE6" w:rsidRPr="002C52FF" w14:paraId="4A78E987" w14:textId="77777777" w:rsidTr="00AA4511">
        <w:tc>
          <w:tcPr>
            <w:tcW w:w="960" w:type="dxa"/>
          </w:tcPr>
          <w:p w14:paraId="2742951D"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Nvidia</w:t>
            </w:r>
          </w:p>
        </w:tc>
        <w:tc>
          <w:tcPr>
            <w:tcW w:w="960" w:type="dxa"/>
          </w:tcPr>
          <w:p w14:paraId="405F3A6C"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26.9</w:t>
            </w:r>
          </w:p>
        </w:tc>
        <w:tc>
          <w:tcPr>
            <w:tcW w:w="960" w:type="dxa"/>
          </w:tcPr>
          <w:p w14:paraId="2051269D"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60.9</w:t>
            </w:r>
          </w:p>
        </w:tc>
        <w:tc>
          <w:tcPr>
            <w:tcW w:w="960" w:type="dxa"/>
          </w:tcPr>
          <w:p w14:paraId="644325A8"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60.87</w:t>
            </w:r>
          </w:p>
        </w:tc>
        <w:tc>
          <w:tcPr>
            <w:tcW w:w="960" w:type="dxa"/>
          </w:tcPr>
          <w:p w14:paraId="7F0888F3"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84.0</w:t>
            </w:r>
          </w:p>
        </w:tc>
        <w:tc>
          <w:tcPr>
            <w:tcW w:w="960" w:type="dxa"/>
          </w:tcPr>
          <w:p w14:paraId="057ADA34"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4.4</w:t>
            </w:r>
          </w:p>
        </w:tc>
        <w:tc>
          <w:tcPr>
            <w:tcW w:w="960" w:type="dxa"/>
          </w:tcPr>
          <w:p w14:paraId="55119D2F"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30.3</w:t>
            </w:r>
          </w:p>
        </w:tc>
        <w:tc>
          <w:tcPr>
            <w:tcW w:w="960" w:type="dxa"/>
          </w:tcPr>
          <w:p w14:paraId="1FC7F8EE"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29.76</w:t>
            </w:r>
          </w:p>
        </w:tc>
        <w:tc>
          <w:tcPr>
            <w:tcW w:w="960" w:type="dxa"/>
          </w:tcPr>
          <w:p w14:paraId="55A588AB"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46.2</w:t>
            </w:r>
          </w:p>
        </w:tc>
      </w:tr>
      <w:tr w:rsidR="00612AE6" w:rsidRPr="002C52FF" w14:paraId="1D1B5883" w14:textId="77777777" w:rsidTr="00AA4511">
        <w:tc>
          <w:tcPr>
            <w:tcW w:w="960" w:type="dxa"/>
          </w:tcPr>
          <w:p w14:paraId="1BA3BEFB"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AMD</w:t>
            </w:r>
          </w:p>
        </w:tc>
        <w:tc>
          <w:tcPr>
            <w:tcW w:w="960" w:type="dxa"/>
          </w:tcPr>
          <w:p w14:paraId="73E25BFA"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23.6</w:t>
            </w:r>
          </w:p>
        </w:tc>
        <w:tc>
          <w:tcPr>
            <w:tcW w:w="960" w:type="dxa"/>
          </w:tcPr>
          <w:p w14:paraId="4DEF79E2"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22.7</w:t>
            </w:r>
          </w:p>
        </w:tc>
        <w:tc>
          <w:tcPr>
            <w:tcW w:w="960" w:type="dxa"/>
          </w:tcPr>
          <w:p w14:paraId="7723BAE0"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24.41</w:t>
            </w:r>
          </w:p>
        </w:tc>
        <w:tc>
          <w:tcPr>
            <w:tcW w:w="960" w:type="dxa"/>
          </w:tcPr>
          <w:p w14:paraId="30C5132B"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25.4</w:t>
            </w:r>
          </w:p>
        </w:tc>
        <w:tc>
          <w:tcPr>
            <w:tcW w:w="960" w:type="dxa"/>
          </w:tcPr>
          <w:p w14:paraId="137D32C3"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1.3</w:t>
            </w:r>
          </w:p>
        </w:tc>
        <w:tc>
          <w:tcPr>
            <w:tcW w:w="960" w:type="dxa"/>
          </w:tcPr>
          <w:p w14:paraId="45112A06"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1.4</w:t>
            </w:r>
          </w:p>
        </w:tc>
        <w:tc>
          <w:tcPr>
            <w:tcW w:w="960" w:type="dxa"/>
          </w:tcPr>
          <w:p w14:paraId="3E85F116"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1.94</w:t>
            </w:r>
          </w:p>
        </w:tc>
        <w:tc>
          <w:tcPr>
            <w:tcW w:w="960" w:type="dxa"/>
          </w:tcPr>
          <w:p w14:paraId="337EA8B8"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2.2</w:t>
            </w:r>
          </w:p>
        </w:tc>
      </w:tr>
      <w:tr w:rsidR="00612AE6" w:rsidRPr="002C52FF" w14:paraId="2A25894E" w14:textId="77777777" w:rsidTr="00AA4511">
        <w:tc>
          <w:tcPr>
            <w:tcW w:w="960" w:type="dxa"/>
          </w:tcPr>
          <w:p w14:paraId="3D1F5FE0"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Intel</w:t>
            </w:r>
          </w:p>
        </w:tc>
        <w:tc>
          <w:tcPr>
            <w:tcW w:w="960" w:type="dxa"/>
          </w:tcPr>
          <w:p w14:paraId="77ADD662"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63.1</w:t>
            </w:r>
          </w:p>
        </w:tc>
        <w:tc>
          <w:tcPr>
            <w:tcW w:w="960" w:type="dxa"/>
          </w:tcPr>
          <w:p w14:paraId="63066EC7"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54.2</w:t>
            </w:r>
          </w:p>
        </w:tc>
        <w:tc>
          <w:tcPr>
            <w:tcW w:w="960" w:type="dxa"/>
          </w:tcPr>
          <w:p w14:paraId="08D4A7D5"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54.23</w:t>
            </w:r>
          </w:p>
        </w:tc>
        <w:tc>
          <w:tcPr>
            <w:tcW w:w="960" w:type="dxa"/>
          </w:tcPr>
          <w:p w14:paraId="61373A31"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52.8</w:t>
            </w:r>
          </w:p>
        </w:tc>
        <w:tc>
          <w:tcPr>
            <w:tcW w:w="960" w:type="dxa"/>
          </w:tcPr>
          <w:p w14:paraId="1EC06343"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8.0</w:t>
            </w:r>
          </w:p>
        </w:tc>
        <w:tc>
          <w:tcPr>
            <w:tcW w:w="960" w:type="dxa"/>
          </w:tcPr>
          <w:p w14:paraId="55ACC5AC"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3.0</w:t>
            </w:r>
          </w:p>
        </w:tc>
        <w:tc>
          <w:tcPr>
            <w:tcW w:w="960" w:type="dxa"/>
          </w:tcPr>
          <w:p w14:paraId="60284A7F"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1.68</w:t>
            </w:r>
          </w:p>
        </w:tc>
        <w:tc>
          <w:tcPr>
            <w:tcW w:w="960" w:type="dxa"/>
          </w:tcPr>
          <w:p w14:paraId="04BEE360"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2.9</w:t>
            </w:r>
          </w:p>
        </w:tc>
      </w:tr>
      <w:tr w:rsidR="00612AE6" w:rsidRPr="002C52FF" w14:paraId="169AD588" w14:textId="77777777" w:rsidTr="00AA4511">
        <w:tc>
          <w:tcPr>
            <w:tcW w:w="960" w:type="dxa"/>
          </w:tcPr>
          <w:p w14:paraId="7D114E59"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Qualcomm</w:t>
            </w:r>
          </w:p>
        </w:tc>
        <w:tc>
          <w:tcPr>
            <w:tcW w:w="960" w:type="dxa"/>
          </w:tcPr>
          <w:p w14:paraId="1BF7A472"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44.2</w:t>
            </w:r>
          </w:p>
        </w:tc>
        <w:tc>
          <w:tcPr>
            <w:tcW w:w="960" w:type="dxa"/>
          </w:tcPr>
          <w:p w14:paraId="066C637D"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36.8</w:t>
            </w:r>
          </w:p>
        </w:tc>
        <w:tc>
          <w:tcPr>
            <w:tcW w:w="960" w:type="dxa"/>
          </w:tcPr>
          <w:p w14:paraId="07315D20"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36.64</w:t>
            </w:r>
          </w:p>
        </w:tc>
        <w:tc>
          <w:tcPr>
            <w:tcW w:w="960" w:type="dxa"/>
          </w:tcPr>
          <w:p w14:paraId="0BCE3645"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38.5</w:t>
            </w:r>
          </w:p>
        </w:tc>
        <w:tc>
          <w:tcPr>
            <w:tcW w:w="960" w:type="dxa"/>
          </w:tcPr>
          <w:p w14:paraId="0104BDE7"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12.9</w:t>
            </w:r>
          </w:p>
        </w:tc>
        <w:tc>
          <w:tcPr>
            <w:tcW w:w="960" w:type="dxa"/>
          </w:tcPr>
          <w:p w14:paraId="2DF5E950"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8.2</w:t>
            </w:r>
          </w:p>
        </w:tc>
        <w:tc>
          <w:tcPr>
            <w:tcW w:w="960" w:type="dxa"/>
          </w:tcPr>
          <w:p w14:paraId="4E0463DA"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8.14</w:t>
            </w:r>
          </w:p>
        </w:tc>
        <w:tc>
          <w:tcPr>
            <w:tcW w:w="960" w:type="dxa"/>
          </w:tcPr>
          <w:p w14:paraId="1977739C" w14:textId="77777777" w:rsidR="00612AE6" w:rsidRPr="002C52FF" w:rsidRDefault="00612AE6" w:rsidP="002C52FF">
            <w:pPr>
              <w:rPr>
                <w:rFonts w:asciiTheme="majorHAnsi" w:hAnsiTheme="majorHAnsi" w:cstheme="majorHAnsi"/>
              </w:rPr>
            </w:pPr>
            <w:r w:rsidRPr="002C52FF">
              <w:rPr>
                <w:rFonts w:asciiTheme="majorHAnsi" w:hAnsiTheme="majorHAnsi" w:cstheme="majorHAnsi"/>
              </w:rPr>
              <w:t>9.1</w:t>
            </w:r>
          </w:p>
        </w:tc>
      </w:tr>
    </w:tbl>
    <w:p w14:paraId="5E63166F" w14:textId="1A32744A" w:rsidR="006870C2" w:rsidRPr="002C52FF" w:rsidRDefault="006870C2" w:rsidP="002C52FF">
      <w:pPr>
        <w:spacing w:after="0"/>
        <w:rPr>
          <w:rFonts w:asciiTheme="majorHAnsi" w:hAnsiTheme="majorHAnsi" w:cstheme="majorHAnsi"/>
        </w:rPr>
      </w:pPr>
      <w:r w:rsidRPr="002C52FF">
        <w:rPr>
          <w:rFonts w:asciiTheme="majorHAnsi" w:hAnsiTheme="majorHAnsi" w:cstheme="majorHAnsi"/>
        </w:rPr>
        <w:t>Nvidia’s performance is outstanding, with explosive revenue and profit growth largely driven by AI and data center demand. AMD shows stable yet modest gains. Intel, once dominant, is seeing a steady decline in both revenue and profits, while Qualcomm remains solid but without the same growth velocity as Nvidia.</w:t>
      </w:r>
    </w:p>
    <w:p w14:paraId="1A609776" w14:textId="77777777" w:rsidR="006870C2" w:rsidRPr="002C52FF" w:rsidRDefault="006870C2" w:rsidP="002C52FF">
      <w:pPr>
        <w:pStyle w:val="Heading2"/>
        <w:rPr>
          <w:rFonts w:cstheme="majorHAnsi"/>
          <w:sz w:val="22"/>
          <w:szCs w:val="22"/>
        </w:rPr>
      </w:pPr>
      <w:r w:rsidRPr="002C52FF">
        <w:rPr>
          <w:rFonts w:cstheme="majorHAnsi"/>
          <w:sz w:val="22"/>
          <w:szCs w:val="22"/>
        </w:rPr>
        <w:t>TTM Financial Metrics – Semiconductors</w:t>
      </w:r>
    </w:p>
    <w:tbl>
      <w:tblPr>
        <w:tblStyle w:val="TableGrid"/>
        <w:tblW w:w="0" w:type="auto"/>
        <w:tblLook w:val="04A0" w:firstRow="1" w:lastRow="0" w:firstColumn="1" w:lastColumn="0" w:noHBand="0" w:noVBand="1"/>
      </w:tblPr>
      <w:tblGrid>
        <w:gridCol w:w="1440"/>
        <w:gridCol w:w="1438"/>
        <w:gridCol w:w="1438"/>
        <w:gridCol w:w="1438"/>
        <w:gridCol w:w="1438"/>
        <w:gridCol w:w="1438"/>
      </w:tblGrid>
      <w:tr w:rsidR="006870C2" w:rsidRPr="002C52FF" w14:paraId="1A0B1992" w14:textId="77777777" w:rsidTr="00AA4511">
        <w:tc>
          <w:tcPr>
            <w:tcW w:w="1440" w:type="dxa"/>
          </w:tcPr>
          <w:p w14:paraId="069F5C5E" w14:textId="77777777" w:rsidR="006870C2" w:rsidRPr="002C52FF" w:rsidRDefault="006870C2" w:rsidP="002C52FF">
            <w:pPr>
              <w:rPr>
                <w:rFonts w:asciiTheme="majorHAnsi" w:hAnsiTheme="majorHAnsi" w:cstheme="majorHAnsi"/>
              </w:rPr>
            </w:pPr>
            <w:r w:rsidRPr="002C52FF">
              <w:rPr>
                <w:rFonts w:asciiTheme="majorHAnsi" w:hAnsiTheme="majorHAnsi" w:cstheme="majorHAnsi"/>
              </w:rPr>
              <w:t>Company</w:t>
            </w:r>
          </w:p>
        </w:tc>
        <w:tc>
          <w:tcPr>
            <w:tcW w:w="1440" w:type="dxa"/>
          </w:tcPr>
          <w:p w14:paraId="2AA7351A" w14:textId="77777777" w:rsidR="006870C2" w:rsidRPr="002C52FF" w:rsidRDefault="006870C2" w:rsidP="002C52FF">
            <w:pPr>
              <w:rPr>
                <w:rFonts w:asciiTheme="majorHAnsi" w:hAnsiTheme="majorHAnsi" w:cstheme="majorHAnsi"/>
              </w:rPr>
            </w:pPr>
            <w:r w:rsidRPr="002C52FF">
              <w:rPr>
                <w:rFonts w:asciiTheme="majorHAnsi" w:hAnsiTheme="majorHAnsi" w:cstheme="majorHAnsi"/>
              </w:rPr>
              <w:t>Revenue ($B)</w:t>
            </w:r>
          </w:p>
        </w:tc>
        <w:tc>
          <w:tcPr>
            <w:tcW w:w="1440" w:type="dxa"/>
          </w:tcPr>
          <w:p w14:paraId="6BACEDB3" w14:textId="77777777" w:rsidR="006870C2" w:rsidRPr="002C52FF" w:rsidRDefault="006870C2" w:rsidP="002C52FF">
            <w:pPr>
              <w:rPr>
                <w:rFonts w:asciiTheme="majorHAnsi" w:hAnsiTheme="majorHAnsi" w:cstheme="majorHAnsi"/>
              </w:rPr>
            </w:pPr>
            <w:r w:rsidRPr="002C52FF">
              <w:rPr>
                <w:rFonts w:asciiTheme="majorHAnsi" w:hAnsiTheme="majorHAnsi" w:cstheme="majorHAnsi"/>
              </w:rPr>
              <w:t>YoY Growth</w:t>
            </w:r>
          </w:p>
        </w:tc>
        <w:tc>
          <w:tcPr>
            <w:tcW w:w="1440" w:type="dxa"/>
          </w:tcPr>
          <w:p w14:paraId="6427E243" w14:textId="77777777" w:rsidR="006870C2" w:rsidRPr="002C52FF" w:rsidRDefault="006870C2" w:rsidP="002C52FF">
            <w:pPr>
              <w:rPr>
                <w:rFonts w:asciiTheme="majorHAnsi" w:hAnsiTheme="majorHAnsi" w:cstheme="majorHAnsi"/>
              </w:rPr>
            </w:pPr>
            <w:r w:rsidRPr="002C52FF">
              <w:rPr>
                <w:rFonts w:asciiTheme="majorHAnsi" w:hAnsiTheme="majorHAnsi" w:cstheme="majorHAnsi"/>
              </w:rPr>
              <w:t>Net Income ($B)</w:t>
            </w:r>
          </w:p>
        </w:tc>
        <w:tc>
          <w:tcPr>
            <w:tcW w:w="1440" w:type="dxa"/>
          </w:tcPr>
          <w:p w14:paraId="69201674" w14:textId="77777777" w:rsidR="006870C2" w:rsidRPr="002C52FF" w:rsidRDefault="006870C2" w:rsidP="002C52FF">
            <w:pPr>
              <w:rPr>
                <w:rFonts w:asciiTheme="majorHAnsi" w:hAnsiTheme="majorHAnsi" w:cstheme="majorHAnsi"/>
              </w:rPr>
            </w:pPr>
            <w:r w:rsidRPr="002C52FF">
              <w:rPr>
                <w:rFonts w:asciiTheme="majorHAnsi" w:hAnsiTheme="majorHAnsi" w:cstheme="majorHAnsi"/>
              </w:rPr>
              <w:t>YoY Growth</w:t>
            </w:r>
          </w:p>
        </w:tc>
        <w:tc>
          <w:tcPr>
            <w:tcW w:w="1440" w:type="dxa"/>
          </w:tcPr>
          <w:p w14:paraId="0F0A527C" w14:textId="77777777" w:rsidR="006870C2" w:rsidRPr="002C52FF" w:rsidRDefault="006870C2" w:rsidP="002C52FF">
            <w:pPr>
              <w:rPr>
                <w:rFonts w:asciiTheme="majorHAnsi" w:hAnsiTheme="majorHAnsi" w:cstheme="majorHAnsi"/>
              </w:rPr>
            </w:pPr>
            <w:r w:rsidRPr="002C52FF">
              <w:rPr>
                <w:rFonts w:asciiTheme="majorHAnsi" w:hAnsiTheme="majorHAnsi" w:cstheme="majorHAnsi"/>
              </w:rPr>
              <w:t>Net Margin</w:t>
            </w:r>
          </w:p>
        </w:tc>
      </w:tr>
      <w:tr w:rsidR="006870C2" w:rsidRPr="002C52FF" w14:paraId="30518B2C" w14:textId="77777777" w:rsidTr="00AA4511">
        <w:tc>
          <w:tcPr>
            <w:tcW w:w="1440" w:type="dxa"/>
          </w:tcPr>
          <w:p w14:paraId="36E0A432" w14:textId="77777777" w:rsidR="006870C2" w:rsidRPr="002C52FF" w:rsidRDefault="006870C2" w:rsidP="002C52FF">
            <w:pPr>
              <w:rPr>
                <w:rFonts w:asciiTheme="majorHAnsi" w:hAnsiTheme="majorHAnsi" w:cstheme="majorHAnsi"/>
              </w:rPr>
            </w:pPr>
            <w:r w:rsidRPr="002C52FF">
              <w:rPr>
                <w:rFonts w:asciiTheme="majorHAnsi" w:hAnsiTheme="majorHAnsi" w:cstheme="majorHAnsi"/>
              </w:rPr>
              <w:t>Nvidia</w:t>
            </w:r>
          </w:p>
        </w:tc>
        <w:tc>
          <w:tcPr>
            <w:tcW w:w="1440" w:type="dxa"/>
          </w:tcPr>
          <w:p w14:paraId="6307E7CE" w14:textId="77777777" w:rsidR="006870C2" w:rsidRPr="002C52FF" w:rsidRDefault="006870C2" w:rsidP="002C52FF">
            <w:pPr>
              <w:rPr>
                <w:rFonts w:asciiTheme="majorHAnsi" w:hAnsiTheme="majorHAnsi" w:cstheme="majorHAnsi"/>
              </w:rPr>
            </w:pPr>
            <w:r w:rsidRPr="002C52FF">
              <w:rPr>
                <w:rFonts w:asciiTheme="majorHAnsi" w:hAnsiTheme="majorHAnsi" w:cstheme="majorHAnsi"/>
              </w:rPr>
              <w:t>84.0</w:t>
            </w:r>
          </w:p>
        </w:tc>
        <w:tc>
          <w:tcPr>
            <w:tcW w:w="1440" w:type="dxa"/>
          </w:tcPr>
          <w:p w14:paraId="4154BB47" w14:textId="77777777" w:rsidR="006870C2" w:rsidRPr="002C52FF" w:rsidRDefault="006870C2" w:rsidP="002C52FF">
            <w:pPr>
              <w:rPr>
                <w:rFonts w:asciiTheme="majorHAnsi" w:hAnsiTheme="majorHAnsi" w:cstheme="majorHAnsi"/>
              </w:rPr>
            </w:pPr>
            <w:r w:rsidRPr="002C52FF">
              <w:rPr>
                <w:rFonts w:asciiTheme="majorHAnsi" w:hAnsiTheme="majorHAnsi" w:cstheme="majorHAnsi"/>
              </w:rPr>
              <w:t>+38.0%</w:t>
            </w:r>
          </w:p>
        </w:tc>
        <w:tc>
          <w:tcPr>
            <w:tcW w:w="1440" w:type="dxa"/>
          </w:tcPr>
          <w:p w14:paraId="6AA16CC8" w14:textId="77777777" w:rsidR="006870C2" w:rsidRPr="002C52FF" w:rsidRDefault="006870C2" w:rsidP="002C52FF">
            <w:pPr>
              <w:rPr>
                <w:rFonts w:asciiTheme="majorHAnsi" w:hAnsiTheme="majorHAnsi" w:cstheme="majorHAnsi"/>
              </w:rPr>
            </w:pPr>
            <w:r w:rsidRPr="002C52FF">
              <w:rPr>
                <w:rFonts w:asciiTheme="majorHAnsi" w:hAnsiTheme="majorHAnsi" w:cstheme="majorHAnsi"/>
              </w:rPr>
              <w:t>46.2</w:t>
            </w:r>
          </w:p>
        </w:tc>
        <w:tc>
          <w:tcPr>
            <w:tcW w:w="1440" w:type="dxa"/>
          </w:tcPr>
          <w:p w14:paraId="4DD71444" w14:textId="77777777" w:rsidR="006870C2" w:rsidRPr="002C52FF" w:rsidRDefault="006870C2" w:rsidP="002C52FF">
            <w:pPr>
              <w:rPr>
                <w:rFonts w:asciiTheme="majorHAnsi" w:hAnsiTheme="majorHAnsi" w:cstheme="majorHAnsi"/>
              </w:rPr>
            </w:pPr>
            <w:r w:rsidRPr="002C52FF">
              <w:rPr>
                <w:rFonts w:asciiTheme="majorHAnsi" w:hAnsiTheme="majorHAnsi" w:cstheme="majorHAnsi"/>
              </w:rPr>
              <w:t>+52.5%</w:t>
            </w:r>
          </w:p>
        </w:tc>
        <w:tc>
          <w:tcPr>
            <w:tcW w:w="1440" w:type="dxa"/>
          </w:tcPr>
          <w:p w14:paraId="4F3145DA" w14:textId="77777777" w:rsidR="006870C2" w:rsidRPr="002C52FF" w:rsidRDefault="006870C2" w:rsidP="002C52FF">
            <w:pPr>
              <w:rPr>
                <w:rFonts w:asciiTheme="majorHAnsi" w:hAnsiTheme="majorHAnsi" w:cstheme="majorHAnsi"/>
              </w:rPr>
            </w:pPr>
            <w:r w:rsidRPr="002C52FF">
              <w:rPr>
                <w:rFonts w:asciiTheme="majorHAnsi" w:hAnsiTheme="majorHAnsi" w:cstheme="majorHAnsi"/>
              </w:rPr>
              <w:t>~55.0%</w:t>
            </w:r>
          </w:p>
        </w:tc>
      </w:tr>
      <w:tr w:rsidR="006870C2" w:rsidRPr="002C52FF" w14:paraId="6F8D514B" w14:textId="77777777" w:rsidTr="00AA4511">
        <w:tc>
          <w:tcPr>
            <w:tcW w:w="1440" w:type="dxa"/>
          </w:tcPr>
          <w:p w14:paraId="4354DBB2" w14:textId="77777777" w:rsidR="006870C2" w:rsidRPr="002C52FF" w:rsidRDefault="006870C2" w:rsidP="002C52FF">
            <w:pPr>
              <w:rPr>
                <w:rFonts w:asciiTheme="majorHAnsi" w:hAnsiTheme="majorHAnsi" w:cstheme="majorHAnsi"/>
              </w:rPr>
            </w:pPr>
            <w:r w:rsidRPr="002C52FF">
              <w:rPr>
                <w:rFonts w:asciiTheme="majorHAnsi" w:hAnsiTheme="majorHAnsi" w:cstheme="majorHAnsi"/>
              </w:rPr>
              <w:t>AMD</w:t>
            </w:r>
          </w:p>
        </w:tc>
        <w:tc>
          <w:tcPr>
            <w:tcW w:w="1440" w:type="dxa"/>
          </w:tcPr>
          <w:p w14:paraId="297D04CC" w14:textId="77777777" w:rsidR="006870C2" w:rsidRPr="002C52FF" w:rsidRDefault="006870C2" w:rsidP="002C52FF">
            <w:pPr>
              <w:rPr>
                <w:rFonts w:asciiTheme="majorHAnsi" w:hAnsiTheme="majorHAnsi" w:cstheme="majorHAnsi"/>
              </w:rPr>
            </w:pPr>
            <w:r w:rsidRPr="002C52FF">
              <w:rPr>
                <w:rFonts w:asciiTheme="majorHAnsi" w:hAnsiTheme="majorHAnsi" w:cstheme="majorHAnsi"/>
              </w:rPr>
              <w:t>25.4</w:t>
            </w:r>
          </w:p>
        </w:tc>
        <w:tc>
          <w:tcPr>
            <w:tcW w:w="1440" w:type="dxa"/>
          </w:tcPr>
          <w:p w14:paraId="3C2DC460" w14:textId="77777777" w:rsidR="006870C2" w:rsidRPr="002C52FF" w:rsidRDefault="006870C2" w:rsidP="002C52FF">
            <w:pPr>
              <w:rPr>
                <w:rFonts w:asciiTheme="majorHAnsi" w:hAnsiTheme="majorHAnsi" w:cstheme="majorHAnsi"/>
              </w:rPr>
            </w:pPr>
            <w:r w:rsidRPr="002C52FF">
              <w:rPr>
                <w:rFonts w:asciiTheme="majorHAnsi" w:hAnsiTheme="majorHAnsi" w:cstheme="majorHAnsi"/>
              </w:rPr>
              <w:t>+11.9%</w:t>
            </w:r>
          </w:p>
        </w:tc>
        <w:tc>
          <w:tcPr>
            <w:tcW w:w="1440" w:type="dxa"/>
          </w:tcPr>
          <w:p w14:paraId="42D36E8B" w14:textId="77777777" w:rsidR="006870C2" w:rsidRPr="002C52FF" w:rsidRDefault="006870C2" w:rsidP="002C52FF">
            <w:pPr>
              <w:rPr>
                <w:rFonts w:asciiTheme="majorHAnsi" w:hAnsiTheme="majorHAnsi" w:cstheme="majorHAnsi"/>
              </w:rPr>
            </w:pPr>
            <w:r w:rsidRPr="002C52FF">
              <w:rPr>
                <w:rFonts w:asciiTheme="majorHAnsi" w:hAnsiTheme="majorHAnsi" w:cstheme="majorHAnsi"/>
              </w:rPr>
              <w:t>2.2</w:t>
            </w:r>
          </w:p>
        </w:tc>
        <w:tc>
          <w:tcPr>
            <w:tcW w:w="1440" w:type="dxa"/>
          </w:tcPr>
          <w:p w14:paraId="444491E7" w14:textId="77777777" w:rsidR="006870C2" w:rsidRPr="002C52FF" w:rsidRDefault="006870C2" w:rsidP="002C52FF">
            <w:pPr>
              <w:rPr>
                <w:rFonts w:asciiTheme="majorHAnsi" w:hAnsiTheme="majorHAnsi" w:cstheme="majorHAnsi"/>
              </w:rPr>
            </w:pPr>
            <w:r w:rsidRPr="002C52FF">
              <w:rPr>
                <w:rFonts w:asciiTheme="majorHAnsi" w:hAnsiTheme="majorHAnsi" w:cstheme="majorHAnsi"/>
              </w:rPr>
              <w:t>+57.1%</w:t>
            </w:r>
          </w:p>
        </w:tc>
        <w:tc>
          <w:tcPr>
            <w:tcW w:w="1440" w:type="dxa"/>
          </w:tcPr>
          <w:p w14:paraId="159E28BB" w14:textId="77777777" w:rsidR="006870C2" w:rsidRPr="002C52FF" w:rsidRDefault="006870C2" w:rsidP="002C52FF">
            <w:pPr>
              <w:rPr>
                <w:rFonts w:asciiTheme="majorHAnsi" w:hAnsiTheme="majorHAnsi" w:cstheme="majorHAnsi"/>
              </w:rPr>
            </w:pPr>
            <w:r w:rsidRPr="002C52FF">
              <w:rPr>
                <w:rFonts w:asciiTheme="majorHAnsi" w:hAnsiTheme="majorHAnsi" w:cstheme="majorHAnsi"/>
              </w:rPr>
              <w:t>~8.7%</w:t>
            </w:r>
          </w:p>
        </w:tc>
      </w:tr>
      <w:tr w:rsidR="006870C2" w:rsidRPr="002C52FF" w14:paraId="4544156C" w14:textId="77777777" w:rsidTr="00AA4511">
        <w:tc>
          <w:tcPr>
            <w:tcW w:w="1440" w:type="dxa"/>
          </w:tcPr>
          <w:p w14:paraId="1B748F67" w14:textId="77777777" w:rsidR="006870C2" w:rsidRPr="002C52FF" w:rsidRDefault="006870C2" w:rsidP="002C52FF">
            <w:pPr>
              <w:rPr>
                <w:rFonts w:asciiTheme="majorHAnsi" w:hAnsiTheme="majorHAnsi" w:cstheme="majorHAnsi"/>
              </w:rPr>
            </w:pPr>
            <w:r w:rsidRPr="002C52FF">
              <w:rPr>
                <w:rFonts w:asciiTheme="majorHAnsi" w:hAnsiTheme="majorHAnsi" w:cstheme="majorHAnsi"/>
              </w:rPr>
              <w:t>Intel</w:t>
            </w:r>
          </w:p>
        </w:tc>
        <w:tc>
          <w:tcPr>
            <w:tcW w:w="1440" w:type="dxa"/>
          </w:tcPr>
          <w:p w14:paraId="61AE1E49" w14:textId="77777777" w:rsidR="006870C2" w:rsidRPr="002C52FF" w:rsidRDefault="006870C2" w:rsidP="002C52FF">
            <w:pPr>
              <w:rPr>
                <w:rFonts w:asciiTheme="majorHAnsi" w:hAnsiTheme="majorHAnsi" w:cstheme="majorHAnsi"/>
              </w:rPr>
            </w:pPr>
            <w:r w:rsidRPr="002C52FF">
              <w:rPr>
                <w:rFonts w:asciiTheme="majorHAnsi" w:hAnsiTheme="majorHAnsi" w:cstheme="majorHAnsi"/>
              </w:rPr>
              <w:t>52.8</w:t>
            </w:r>
          </w:p>
        </w:tc>
        <w:tc>
          <w:tcPr>
            <w:tcW w:w="1440" w:type="dxa"/>
          </w:tcPr>
          <w:p w14:paraId="6FCCB560" w14:textId="77777777" w:rsidR="006870C2" w:rsidRPr="002C52FF" w:rsidRDefault="006870C2" w:rsidP="002C52FF">
            <w:pPr>
              <w:rPr>
                <w:rFonts w:asciiTheme="majorHAnsi" w:hAnsiTheme="majorHAnsi" w:cstheme="majorHAnsi"/>
              </w:rPr>
            </w:pPr>
            <w:r w:rsidRPr="002C52FF">
              <w:rPr>
                <w:rFonts w:asciiTheme="majorHAnsi" w:hAnsiTheme="majorHAnsi" w:cstheme="majorHAnsi"/>
              </w:rPr>
              <w:t>-2.6%</w:t>
            </w:r>
          </w:p>
        </w:tc>
        <w:tc>
          <w:tcPr>
            <w:tcW w:w="1440" w:type="dxa"/>
          </w:tcPr>
          <w:p w14:paraId="1B57226E" w14:textId="77777777" w:rsidR="006870C2" w:rsidRPr="002C52FF" w:rsidRDefault="006870C2" w:rsidP="002C52FF">
            <w:pPr>
              <w:rPr>
                <w:rFonts w:asciiTheme="majorHAnsi" w:hAnsiTheme="majorHAnsi" w:cstheme="majorHAnsi"/>
              </w:rPr>
            </w:pPr>
            <w:r w:rsidRPr="002C52FF">
              <w:rPr>
                <w:rFonts w:asciiTheme="majorHAnsi" w:hAnsiTheme="majorHAnsi" w:cstheme="majorHAnsi"/>
              </w:rPr>
              <w:t>2.9</w:t>
            </w:r>
          </w:p>
        </w:tc>
        <w:tc>
          <w:tcPr>
            <w:tcW w:w="1440" w:type="dxa"/>
          </w:tcPr>
          <w:p w14:paraId="78D0A7DB" w14:textId="77777777" w:rsidR="006870C2" w:rsidRPr="002C52FF" w:rsidRDefault="006870C2" w:rsidP="002C52FF">
            <w:pPr>
              <w:rPr>
                <w:rFonts w:asciiTheme="majorHAnsi" w:hAnsiTheme="majorHAnsi" w:cstheme="majorHAnsi"/>
              </w:rPr>
            </w:pPr>
            <w:r w:rsidRPr="002C52FF">
              <w:rPr>
                <w:rFonts w:asciiTheme="majorHAnsi" w:hAnsiTheme="majorHAnsi" w:cstheme="majorHAnsi"/>
              </w:rPr>
              <w:t>-3.3%</w:t>
            </w:r>
          </w:p>
        </w:tc>
        <w:tc>
          <w:tcPr>
            <w:tcW w:w="1440" w:type="dxa"/>
          </w:tcPr>
          <w:p w14:paraId="77C46ADA" w14:textId="77777777" w:rsidR="006870C2" w:rsidRPr="002C52FF" w:rsidRDefault="006870C2" w:rsidP="002C52FF">
            <w:pPr>
              <w:rPr>
                <w:rFonts w:asciiTheme="majorHAnsi" w:hAnsiTheme="majorHAnsi" w:cstheme="majorHAnsi"/>
              </w:rPr>
            </w:pPr>
            <w:r w:rsidRPr="002C52FF">
              <w:rPr>
                <w:rFonts w:asciiTheme="majorHAnsi" w:hAnsiTheme="majorHAnsi" w:cstheme="majorHAnsi"/>
              </w:rPr>
              <w:t>~5.5%</w:t>
            </w:r>
          </w:p>
        </w:tc>
      </w:tr>
      <w:tr w:rsidR="006870C2" w:rsidRPr="002C52FF" w14:paraId="4306F989" w14:textId="77777777" w:rsidTr="00AA4511">
        <w:tc>
          <w:tcPr>
            <w:tcW w:w="1440" w:type="dxa"/>
          </w:tcPr>
          <w:p w14:paraId="5FF69D2F" w14:textId="77777777" w:rsidR="006870C2" w:rsidRPr="002C52FF" w:rsidRDefault="006870C2" w:rsidP="002C52FF">
            <w:pPr>
              <w:rPr>
                <w:rFonts w:asciiTheme="majorHAnsi" w:hAnsiTheme="majorHAnsi" w:cstheme="majorHAnsi"/>
              </w:rPr>
            </w:pPr>
            <w:r w:rsidRPr="002C52FF">
              <w:rPr>
                <w:rFonts w:asciiTheme="majorHAnsi" w:hAnsiTheme="majorHAnsi" w:cstheme="majorHAnsi"/>
              </w:rPr>
              <w:t>Qualcomm</w:t>
            </w:r>
          </w:p>
        </w:tc>
        <w:tc>
          <w:tcPr>
            <w:tcW w:w="1440" w:type="dxa"/>
          </w:tcPr>
          <w:p w14:paraId="12F902D2" w14:textId="77777777" w:rsidR="006870C2" w:rsidRPr="002C52FF" w:rsidRDefault="006870C2" w:rsidP="002C52FF">
            <w:pPr>
              <w:rPr>
                <w:rFonts w:asciiTheme="majorHAnsi" w:hAnsiTheme="majorHAnsi" w:cstheme="majorHAnsi"/>
              </w:rPr>
            </w:pPr>
            <w:r w:rsidRPr="002C52FF">
              <w:rPr>
                <w:rFonts w:asciiTheme="majorHAnsi" w:hAnsiTheme="majorHAnsi" w:cstheme="majorHAnsi"/>
              </w:rPr>
              <w:t>38.5</w:t>
            </w:r>
          </w:p>
        </w:tc>
        <w:tc>
          <w:tcPr>
            <w:tcW w:w="1440" w:type="dxa"/>
          </w:tcPr>
          <w:p w14:paraId="75EDF798" w14:textId="77777777" w:rsidR="006870C2" w:rsidRPr="002C52FF" w:rsidRDefault="006870C2" w:rsidP="002C52FF">
            <w:pPr>
              <w:rPr>
                <w:rFonts w:asciiTheme="majorHAnsi" w:hAnsiTheme="majorHAnsi" w:cstheme="majorHAnsi"/>
              </w:rPr>
            </w:pPr>
            <w:r w:rsidRPr="002C52FF">
              <w:rPr>
                <w:rFonts w:asciiTheme="majorHAnsi" w:hAnsiTheme="majorHAnsi" w:cstheme="majorHAnsi"/>
              </w:rPr>
              <w:t>+4.6%</w:t>
            </w:r>
          </w:p>
        </w:tc>
        <w:tc>
          <w:tcPr>
            <w:tcW w:w="1440" w:type="dxa"/>
          </w:tcPr>
          <w:p w14:paraId="45408318" w14:textId="77777777" w:rsidR="006870C2" w:rsidRPr="002C52FF" w:rsidRDefault="006870C2" w:rsidP="002C52FF">
            <w:pPr>
              <w:rPr>
                <w:rFonts w:asciiTheme="majorHAnsi" w:hAnsiTheme="majorHAnsi" w:cstheme="majorHAnsi"/>
              </w:rPr>
            </w:pPr>
            <w:r w:rsidRPr="002C52FF">
              <w:rPr>
                <w:rFonts w:asciiTheme="majorHAnsi" w:hAnsiTheme="majorHAnsi" w:cstheme="majorHAnsi"/>
              </w:rPr>
              <w:t>9.1</w:t>
            </w:r>
          </w:p>
        </w:tc>
        <w:tc>
          <w:tcPr>
            <w:tcW w:w="1440" w:type="dxa"/>
          </w:tcPr>
          <w:p w14:paraId="56F219BE" w14:textId="77777777" w:rsidR="006870C2" w:rsidRPr="002C52FF" w:rsidRDefault="006870C2" w:rsidP="002C52FF">
            <w:pPr>
              <w:rPr>
                <w:rFonts w:asciiTheme="majorHAnsi" w:hAnsiTheme="majorHAnsi" w:cstheme="majorHAnsi"/>
              </w:rPr>
            </w:pPr>
            <w:r w:rsidRPr="002C52FF">
              <w:rPr>
                <w:rFonts w:asciiTheme="majorHAnsi" w:hAnsiTheme="majorHAnsi" w:cstheme="majorHAnsi"/>
              </w:rPr>
              <w:t>+11.0%</w:t>
            </w:r>
          </w:p>
        </w:tc>
        <w:tc>
          <w:tcPr>
            <w:tcW w:w="1440" w:type="dxa"/>
          </w:tcPr>
          <w:p w14:paraId="20D268B0" w14:textId="77777777" w:rsidR="006870C2" w:rsidRPr="002C52FF" w:rsidRDefault="006870C2" w:rsidP="002C52FF">
            <w:pPr>
              <w:rPr>
                <w:rFonts w:asciiTheme="majorHAnsi" w:hAnsiTheme="majorHAnsi" w:cstheme="majorHAnsi"/>
              </w:rPr>
            </w:pPr>
            <w:r w:rsidRPr="002C52FF">
              <w:rPr>
                <w:rFonts w:asciiTheme="majorHAnsi" w:hAnsiTheme="majorHAnsi" w:cstheme="majorHAnsi"/>
              </w:rPr>
              <w:t>~23.6%</w:t>
            </w:r>
          </w:p>
        </w:tc>
      </w:tr>
    </w:tbl>
    <w:p w14:paraId="10B38BA2" w14:textId="77777777" w:rsidR="00742FF4" w:rsidRPr="002C52FF" w:rsidRDefault="00742FF4" w:rsidP="002C52FF">
      <w:pPr>
        <w:spacing w:after="0"/>
        <w:rPr>
          <w:rFonts w:asciiTheme="majorHAnsi" w:hAnsiTheme="majorHAnsi" w:cstheme="majorHAnsi"/>
        </w:rPr>
      </w:pPr>
    </w:p>
    <w:p w14:paraId="7C56AECF" w14:textId="77777777" w:rsidR="00721C36" w:rsidRPr="002C52FF" w:rsidRDefault="00721C36" w:rsidP="00DD1B04">
      <w:pPr>
        <w:spacing w:after="0"/>
        <w:rPr>
          <w:rFonts w:asciiTheme="majorHAnsi" w:hAnsiTheme="majorHAnsi" w:cstheme="majorHAnsi"/>
          <w:b/>
          <w:bCs/>
          <w:lang w:val="en-IN"/>
        </w:rPr>
      </w:pPr>
      <w:r w:rsidRPr="002C52FF">
        <w:rPr>
          <w:rFonts w:asciiTheme="majorHAnsi" w:hAnsiTheme="majorHAnsi" w:cstheme="majorHAnsi"/>
          <w:b/>
          <w:bCs/>
          <w:lang w:val="en-IN"/>
        </w:rPr>
        <w:t>1. Revenue &amp; Scale</w:t>
      </w:r>
    </w:p>
    <w:p w14:paraId="247D29DF" w14:textId="6BFD08D6" w:rsidR="00721C36" w:rsidRPr="002C52FF" w:rsidRDefault="00721C36" w:rsidP="00DD1B04">
      <w:pPr>
        <w:spacing w:after="0"/>
        <w:rPr>
          <w:rFonts w:asciiTheme="majorHAnsi" w:hAnsiTheme="majorHAnsi" w:cstheme="majorHAnsi"/>
          <w:lang w:val="en-IN"/>
        </w:rPr>
      </w:pPr>
      <w:r w:rsidRPr="002C52FF">
        <w:rPr>
          <w:rFonts w:asciiTheme="majorHAnsi" w:hAnsiTheme="majorHAnsi" w:cstheme="majorHAnsi"/>
          <w:lang w:val="en-IN"/>
        </w:rPr>
        <w:t>Nvidia leads the peer group with $84.0 billion in trailing twelve-month revenue, a dramatic rise fuelled by surging demand for AI chips and data centre acceleration. Intel remains sizable at $52.8 billion but has lost market share in key segments. Qualcomm ($38.5B) and AMD ($25.4B) trail behind in scale but maintain solid positioning within their respective niches — mobile chips for Qualcomm and high-performance CPUs and GPUs for AMD.</w:t>
      </w:r>
    </w:p>
    <w:p w14:paraId="70BC0E6D" w14:textId="77777777" w:rsidR="00721C36" w:rsidRPr="002C52FF" w:rsidRDefault="00721C36" w:rsidP="00DD1B04">
      <w:pPr>
        <w:spacing w:after="0"/>
        <w:rPr>
          <w:rFonts w:asciiTheme="majorHAnsi" w:hAnsiTheme="majorHAnsi" w:cstheme="majorHAnsi"/>
          <w:b/>
          <w:bCs/>
          <w:lang w:val="en-IN"/>
        </w:rPr>
      </w:pPr>
      <w:r w:rsidRPr="002C52FF">
        <w:rPr>
          <w:rFonts w:asciiTheme="majorHAnsi" w:hAnsiTheme="majorHAnsi" w:cstheme="majorHAnsi"/>
          <w:b/>
          <w:bCs/>
          <w:lang w:val="en-IN"/>
        </w:rPr>
        <w:t>2. Profitability Efficiency</w:t>
      </w:r>
    </w:p>
    <w:p w14:paraId="79825132" w14:textId="77777777" w:rsidR="00721C36" w:rsidRPr="002C52FF" w:rsidRDefault="00721C36" w:rsidP="00DD1B04">
      <w:pPr>
        <w:spacing w:after="0"/>
        <w:rPr>
          <w:rFonts w:asciiTheme="majorHAnsi" w:hAnsiTheme="majorHAnsi" w:cstheme="majorHAnsi"/>
          <w:lang w:val="en-IN"/>
        </w:rPr>
      </w:pPr>
      <w:r w:rsidRPr="002C52FF">
        <w:rPr>
          <w:rFonts w:asciiTheme="majorHAnsi" w:hAnsiTheme="majorHAnsi" w:cstheme="majorHAnsi"/>
          <w:lang w:val="en-IN"/>
        </w:rPr>
        <w:t>Nvidia stands out with an extraordinary net margin of approximately 55.0%, the highest in the industry, reflecting both pricing power and operational scale in the AI segment. Qualcomm maintains a strong 23.6% margin due to its licensing model and premium smartphone chip business. AMD posted a respectable 8.7% margin, indicating efficient cost control. Intel, despite its scale, lags behind with a 5.5% margin, weighed down by manufacturing inefficiencies and legacy segment drag.</w:t>
      </w:r>
    </w:p>
    <w:p w14:paraId="1771F70F" w14:textId="77777777" w:rsidR="00721C36" w:rsidRPr="002C52FF" w:rsidRDefault="00721C36" w:rsidP="00DD1B04">
      <w:pPr>
        <w:spacing w:after="0"/>
        <w:rPr>
          <w:rFonts w:asciiTheme="majorHAnsi" w:hAnsiTheme="majorHAnsi" w:cstheme="majorHAnsi"/>
          <w:b/>
          <w:bCs/>
          <w:lang w:val="en-IN"/>
        </w:rPr>
      </w:pPr>
      <w:r w:rsidRPr="002C52FF">
        <w:rPr>
          <w:rFonts w:asciiTheme="majorHAnsi" w:hAnsiTheme="majorHAnsi" w:cstheme="majorHAnsi"/>
          <w:b/>
          <w:bCs/>
          <w:lang w:val="en-IN"/>
        </w:rPr>
        <w:t>3. Growth Trends &amp; Stability</w:t>
      </w:r>
    </w:p>
    <w:p w14:paraId="0A1FB2B9" w14:textId="073E02C7" w:rsidR="00721C36" w:rsidRPr="002C52FF" w:rsidRDefault="00721C36" w:rsidP="00DD1B04">
      <w:pPr>
        <w:spacing w:after="0"/>
        <w:rPr>
          <w:rFonts w:asciiTheme="majorHAnsi" w:hAnsiTheme="majorHAnsi" w:cstheme="majorHAnsi"/>
          <w:lang w:val="en-IN"/>
        </w:rPr>
      </w:pPr>
      <w:r w:rsidRPr="002C52FF">
        <w:rPr>
          <w:rFonts w:asciiTheme="majorHAnsi" w:hAnsiTheme="majorHAnsi" w:cstheme="majorHAnsi"/>
          <w:lang w:val="en-IN"/>
        </w:rPr>
        <w:t xml:space="preserve">Nvidia’s YoY revenue growth of 38.0%and net income growth of 52.5% signal explosive demand and first-mover advantage in AI hardware. AMD also saw strong net income growth (+57.1%), bolstered by data </w:t>
      </w:r>
      <w:r w:rsidR="00D31058" w:rsidRPr="002C52FF">
        <w:rPr>
          <w:rFonts w:asciiTheme="majorHAnsi" w:hAnsiTheme="majorHAnsi" w:cstheme="majorHAnsi"/>
          <w:lang w:val="en-IN"/>
        </w:rPr>
        <w:t>centre</w:t>
      </w:r>
      <w:r w:rsidRPr="002C52FF">
        <w:rPr>
          <w:rFonts w:asciiTheme="majorHAnsi" w:hAnsiTheme="majorHAnsi" w:cstheme="majorHAnsi"/>
          <w:lang w:val="en-IN"/>
        </w:rPr>
        <w:t xml:space="preserve"> and gaming segments. Qualcomm posted moderate gains in both revenue and profitability. In contrast, Intel experienced declines across both metrics, reflecting ongoing struggles in its turnaround strategy and increased competition.</w:t>
      </w:r>
    </w:p>
    <w:p w14:paraId="399150AA" w14:textId="77777777" w:rsidR="00D31058" w:rsidRPr="002C52FF" w:rsidRDefault="00D31058" w:rsidP="00DD1B04">
      <w:pPr>
        <w:spacing w:after="0"/>
        <w:rPr>
          <w:rFonts w:asciiTheme="majorHAnsi" w:hAnsiTheme="majorHAnsi" w:cstheme="majorHAnsi"/>
          <w:b/>
          <w:bCs/>
          <w:lang w:val="en-IN"/>
        </w:rPr>
      </w:pPr>
    </w:p>
    <w:p w14:paraId="7D18267D" w14:textId="283FFB1D" w:rsidR="00721C36" w:rsidRPr="002C52FF" w:rsidRDefault="00721C36" w:rsidP="00DD1B04">
      <w:pPr>
        <w:spacing w:after="0"/>
        <w:rPr>
          <w:rFonts w:asciiTheme="majorHAnsi" w:hAnsiTheme="majorHAnsi" w:cstheme="majorHAnsi"/>
          <w:b/>
          <w:bCs/>
          <w:lang w:val="en-IN"/>
        </w:rPr>
      </w:pPr>
      <w:r w:rsidRPr="002C52FF">
        <w:rPr>
          <w:rFonts w:asciiTheme="majorHAnsi" w:hAnsiTheme="majorHAnsi" w:cstheme="majorHAnsi"/>
          <w:b/>
          <w:bCs/>
          <w:lang w:val="en-IN"/>
        </w:rPr>
        <w:lastRenderedPageBreak/>
        <w:t>4. Stock Valuation &amp; Market Sentiment</w:t>
      </w:r>
    </w:p>
    <w:p w14:paraId="22898DF6" w14:textId="77777777" w:rsidR="00721C36" w:rsidRPr="002C52FF" w:rsidRDefault="00721C36" w:rsidP="00DD1B04">
      <w:pPr>
        <w:spacing w:after="0"/>
        <w:rPr>
          <w:rFonts w:asciiTheme="majorHAnsi" w:hAnsiTheme="majorHAnsi" w:cstheme="majorHAnsi"/>
          <w:lang w:val="en-IN"/>
        </w:rPr>
      </w:pPr>
      <w:r w:rsidRPr="002C52FF">
        <w:rPr>
          <w:rFonts w:asciiTheme="majorHAnsi" w:hAnsiTheme="majorHAnsi" w:cstheme="majorHAnsi"/>
          <w:lang w:val="en-IN"/>
        </w:rPr>
        <w:t>Nvidia commands a premium valuation with high investor confidence tied to its AI dominance. AMD also trades at a growth-oriented multiple, supported by innovation in server and graphics markets. Qualcomm is seen as a stable dividend-paying tech play. Intel, once a leader, is viewed cautiously by investors amid execution risks and declining fundamentals, though long-term restructuring efforts are underway.</w:t>
      </w:r>
    </w:p>
    <w:p w14:paraId="1217D649" w14:textId="77777777" w:rsidR="00721C36" w:rsidRPr="002C52FF" w:rsidRDefault="00721C36" w:rsidP="00DD1B04">
      <w:pPr>
        <w:spacing w:after="0"/>
        <w:rPr>
          <w:rFonts w:asciiTheme="majorHAnsi" w:hAnsiTheme="majorHAnsi" w:cstheme="majorHAnsi"/>
          <w:b/>
          <w:bCs/>
          <w:lang w:val="en-IN"/>
        </w:rPr>
      </w:pPr>
      <w:r w:rsidRPr="002C52FF">
        <w:rPr>
          <w:rFonts w:asciiTheme="majorHAnsi" w:hAnsiTheme="majorHAnsi" w:cstheme="majorHAnsi"/>
          <w:b/>
          <w:bCs/>
          <w:lang w:val="en-IN"/>
        </w:rPr>
        <w:t>5. Volatility &amp; Risk Factors</w:t>
      </w:r>
    </w:p>
    <w:p w14:paraId="37845FAC" w14:textId="6FD1C0EE" w:rsidR="00721C36" w:rsidRPr="002C52FF" w:rsidRDefault="00721C36" w:rsidP="00DD1B04">
      <w:pPr>
        <w:spacing w:after="0"/>
        <w:rPr>
          <w:rFonts w:asciiTheme="majorHAnsi" w:hAnsiTheme="majorHAnsi" w:cstheme="majorHAnsi"/>
          <w:lang w:val="en-IN"/>
        </w:rPr>
      </w:pPr>
      <w:r w:rsidRPr="002C52FF">
        <w:rPr>
          <w:rFonts w:asciiTheme="majorHAnsi" w:hAnsiTheme="majorHAnsi" w:cstheme="majorHAnsi"/>
          <w:lang w:val="en-IN"/>
        </w:rPr>
        <w:t xml:space="preserve">Nvidia’s exposure </w:t>
      </w:r>
      <w:r w:rsidRPr="002C52FF">
        <w:rPr>
          <w:rFonts w:asciiTheme="majorHAnsi" w:hAnsiTheme="majorHAnsi" w:cstheme="majorHAnsi"/>
          <w:b/>
          <w:bCs/>
          <w:lang w:val="en-IN"/>
        </w:rPr>
        <w:t>to cyclical demand and concentration in AI creates</w:t>
      </w:r>
      <w:r w:rsidRPr="002C52FF">
        <w:rPr>
          <w:rFonts w:asciiTheme="majorHAnsi" w:hAnsiTheme="majorHAnsi" w:cstheme="majorHAnsi"/>
          <w:lang w:val="en-IN"/>
        </w:rPr>
        <w:t xml:space="preserve"> valuation sensitivity. AMD faces competitive pricing pressure and heavy R&amp;D demands. Qualcomm is reliant on mobile cycles and licensing disputes. Intel’s risks are </w:t>
      </w:r>
      <w:r w:rsidR="00406B78" w:rsidRPr="002C52FF">
        <w:rPr>
          <w:rFonts w:asciiTheme="majorHAnsi" w:hAnsiTheme="majorHAnsi" w:cstheme="majorHAnsi"/>
          <w:lang w:val="en-IN"/>
        </w:rPr>
        <w:t>centred</w:t>
      </w:r>
      <w:r w:rsidRPr="002C52FF">
        <w:rPr>
          <w:rFonts w:asciiTheme="majorHAnsi" w:hAnsiTheme="majorHAnsi" w:cstheme="majorHAnsi"/>
          <w:lang w:val="en-IN"/>
        </w:rPr>
        <w:t xml:space="preserve"> around manufacturing delays, execution gaps, and macro headwinds tied to PC and server markets.</w:t>
      </w:r>
    </w:p>
    <w:p w14:paraId="7A38990E" w14:textId="77777777" w:rsidR="00347C82" w:rsidRDefault="00347C82" w:rsidP="00347C82">
      <w:pPr>
        <w:spacing w:after="0"/>
        <w:rPr>
          <w:rFonts w:asciiTheme="majorHAnsi" w:hAnsiTheme="majorHAnsi" w:cstheme="majorHAnsi"/>
          <w:b/>
          <w:bCs/>
          <w:lang w:val="en-IN"/>
        </w:rPr>
      </w:pPr>
    </w:p>
    <w:p w14:paraId="3B6E293B" w14:textId="5650F0F4" w:rsidR="002C52FF" w:rsidRPr="00347C82" w:rsidRDefault="00721C36" w:rsidP="00347C82">
      <w:pPr>
        <w:spacing w:after="0"/>
        <w:rPr>
          <w:rFonts w:asciiTheme="majorHAnsi" w:hAnsiTheme="majorHAnsi" w:cstheme="majorHAnsi"/>
          <w:b/>
          <w:bCs/>
          <w:lang w:val="en-IN"/>
        </w:rPr>
      </w:pPr>
      <w:r w:rsidRPr="002C52FF">
        <w:rPr>
          <w:rFonts w:asciiTheme="majorHAnsi" w:hAnsiTheme="majorHAnsi" w:cstheme="majorHAnsi"/>
          <w:b/>
          <w:bCs/>
          <w:lang w:val="en-IN"/>
        </w:rPr>
        <w:t xml:space="preserve">Nvidia is positioned as the leader in AI infrastructure, with continued growth expected from its data </w:t>
      </w:r>
      <w:r w:rsidR="00406B78" w:rsidRPr="002C52FF">
        <w:rPr>
          <w:rFonts w:asciiTheme="majorHAnsi" w:hAnsiTheme="majorHAnsi" w:cstheme="majorHAnsi"/>
          <w:b/>
          <w:bCs/>
          <w:lang w:val="en-IN"/>
        </w:rPr>
        <w:t>centre</w:t>
      </w:r>
      <w:r w:rsidRPr="002C52FF">
        <w:rPr>
          <w:rFonts w:asciiTheme="majorHAnsi" w:hAnsiTheme="majorHAnsi" w:cstheme="majorHAnsi"/>
          <w:b/>
          <w:bCs/>
          <w:lang w:val="en-IN"/>
        </w:rPr>
        <w:t xml:space="preserve"> and automotive platforms. AMD is expected to gain share in server and custom chip markets. Qualcomm is expanding into automotive, IoT, and AR/VR while defending its mobile stronghold. Intel’s success hinges on rebuilding manufacturing competitiveness and executing its IDM 2.0 strategy.</w:t>
      </w:r>
    </w:p>
    <w:p w14:paraId="0A957614" w14:textId="388402DA" w:rsidR="00E91A29" w:rsidRPr="002C52FF" w:rsidRDefault="0055239D" w:rsidP="002C52FF">
      <w:pPr>
        <w:pStyle w:val="Heading2"/>
        <w:rPr>
          <w:rFonts w:cstheme="majorHAnsi"/>
          <w:sz w:val="22"/>
          <w:szCs w:val="22"/>
        </w:rPr>
      </w:pPr>
      <w:r w:rsidRPr="002C52FF">
        <w:rPr>
          <w:rFonts w:cstheme="majorHAnsi"/>
          <w:sz w:val="22"/>
          <w:szCs w:val="22"/>
        </w:rPr>
        <w:t>5</w:t>
      </w:r>
      <w:r w:rsidR="000F22CA" w:rsidRPr="002C52FF">
        <w:rPr>
          <w:rFonts w:cstheme="majorHAnsi"/>
          <w:sz w:val="22"/>
          <w:szCs w:val="22"/>
        </w:rPr>
        <w:t xml:space="preserve">. </w:t>
      </w:r>
      <w:r w:rsidR="00BB7BA3" w:rsidRPr="002C52FF">
        <w:rPr>
          <w:rFonts w:cstheme="majorHAnsi"/>
          <w:sz w:val="22"/>
          <w:szCs w:val="22"/>
        </w:rPr>
        <w:t>Pharmaceuticals &amp; Biotech</w:t>
      </w:r>
    </w:p>
    <w:p w14:paraId="6366D491" w14:textId="26387720" w:rsidR="008F06AD" w:rsidRPr="002C52FF" w:rsidRDefault="008F06AD" w:rsidP="002C52FF">
      <w:pPr>
        <w:spacing w:after="0"/>
        <w:rPr>
          <w:rFonts w:asciiTheme="majorHAnsi" w:hAnsiTheme="majorHAnsi" w:cstheme="majorHAnsi"/>
        </w:rPr>
      </w:pPr>
      <w:r w:rsidRPr="002C52FF">
        <w:rPr>
          <w:rFonts w:asciiTheme="majorHAnsi" w:hAnsiTheme="majorHAnsi" w:cstheme="majorHAnsi"/>
        </w:rPr>
        <w:t>Financial Performance (2022–2025, TTM)</w:t>
      </w:r>
    </w:p>
    <w:tbl>
      <w:tblPr>
        <w:tblStyle w:val="TableGrid"/>
        <w:tblW w:w="0" w:type="auto"/>
        <w:tblLook w:val="04A0" w:firstRow="1" w:lastRow="0" w:firstColumn="1" w:lastColumn="0" w:noHBand="0" w:noVBand="1"/>
      </w:tblPr>
      <w:tblGrid>
        <w:gridCol w:w="1122"/>
        <w:gridCol w:w="995"/>
        <w:gridCol w:w="995"/>
        <w:gridCol w:w="995"/>
        <w:gridCol w:w="995"/>
        <w:gridCol w:w="882"/>
        <w:gridCol w:w="882"/>
        <w:gridCol w:w="882"/>
        <w:gridCol w:w="882"/>
      </w:tblGrid>
      <w:tr w:rsidR="00536C7B" w:rsidRPr="002C52FF" w14:paraId="10E56BAB" w14:textId="77777777" w:rsidTr="00AA4511">
        <w:tc>
          <w:tcPr>
            <w:tcW w:w="1441" w:type="dxa"/>
            <w:vAlign w:val="center"/>
          </w:tcPr>
          <w:p w14:paraId="15ED311B"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Company</w:t>
            </w:r>
          </w:p>
        </w:tc>
        <w:tc>
          <w:tcPr>
            <w:tcW w:w="956" w:type="dxa"/>
            <w:vAlign w:val="center"/>
          </w:tcPr>
          <w:p w14:paraId="47818ED5"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2022 Revenue ($B)</w:t>
            </w:r>
          </w:p>
        </w:tc>
        <w:tc>
          <w:tcPr>
            <w:tcW w:w="985" w:type="dxa"/>
            <w:vAlign w:val="center"/>
          </w:tcPr>
          <w:p w14:paraId="505159CB"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2023 Revenue ($B)</w:t>
            </w:r>
          </w:p>
        </w:tc>
        <w:tc>
          <w:tcPr>
            <w:tcW w:w="985" w:type="dxa"/>
            <w:vAlign w:val="center"/>
          </w:tcPr>
          <w:p w14:paraId="5BEEA779" w14:textId="77777777" w:rsidR="00536C7B" w:rsidRPr="002C52FF" w:rsidRDefault="00536C7B" w:rsidP="002C52FF">
            <w:pPr>
              <w:rPr>
                <w:rFonts w:asciiTheme="majorHAnsi" w:hAnsiTheme="majorHAnsi" w:cstheme="majorHAnsi"/>
              </w:rPr>
            </w:pPr>
            <w:r w:rsidRPr="002C52FF">
              <w:rPr>
                <w:rStyle w:val="Strong"/>
                <w:rFonts w:asciiTheme="majorHAnsi" w:hAnsiTheme="majorHAnsi" w:cstheme="majorHAnsi"/>
                <w:b w:val="0"/>
                <w:bCs w:val="0"/>
              </w:rPr>
              <w:t>2024 Revenue ($B)</w:t>
            </w:r>
          </w:p>
        </w:tc>
        <w:tc>
          <w:tcPr>
            <w:tcW w:w="985" w:type="dxa"/>
            <w:vAlign w:val="center"/>
          </w:tcPr>
          <w:p w14:paraId="6D9BA7EB"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2025 Revenue ($B, TTM)</w:t>
            </w:r>
          </w:p>
        </w:tc>
        <w:tc>
          <w:tcPr>
            <w:tcW w:w="876" w:type="dxa"/>
            <w:vAlign w:val="center"/>
          </w:tcPr>
          <w:p w14:paraId="0785CFD8"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2022 Net Income ($B)</w:t>
            </w:r>
          </w:p>
        </w:tc>
        <w:tc>
          <w:tcPr>
            <w:tcW w:w="876" w:type="dxa"/>
            <w:vAlign w:val="center"/>
          </w:tcPr>
          <w:p w14:paraId="3383537B"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2023 Net Income ($B)</w:t>
            </w:r>
          </w:p>
        </w:tc>
        <w:tc>
          <w:tcPr>
            <w:tcW w:w="876" w:type="dxa"/>
            <w:vAlign w:val="center"/>
          </w:tcPr>
          <w:p w14:paraId="5026707F" w14:textId="77777777" w:rsidR="00536C7B" w:rsidRPr="002C52FF" w:rsidRDefault="00536C7B" w:rsidP="002C52FF">
            <w:pPr>
              <w:rPr>
                <w:rFonts w:asciiTheme="majorHAnsi" w:hAnsiTheme="majorHAnsi" w:cstheme="majorHAnsi"/>
              </w:rPr>
            </w:pPr>
            <w:r w:rsidRPr="002C52FF">
              <w:rPr>
                <w:rStyle w:val="Strong"/>
                <w:rFonts w:asciiTheme="majorHAnsi" w:hAnsiTheme="majorHAnsi" w:cstheme="majorHAnsi"/>
                <w:b w:val="0"/>
                <w:bCs w:val="0"/>
              </w:rPr>
              <w:t>2024 Net Income ($B)</w:t>
            </w:r>
          </w:p>
        </w:tc>
        <w:tc>
          <w:tcPr>
            <w:tcW w:w="876" w:type="dxa"/>
            <w:vAlign w:val="center"/>
          </w:tcPr>
          <w:p w14:paraId="6DB697AB"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2025 Net Income ($B)</w:t>
            </w:r>
          </w:p>
        </w:tc>
      </w:tr>
      <w:tr w:rsidR="00536C7B" w:rsidRPr="002C52FF" w14:paraId="73E6978B" w14:textId="77777777" w:rsidTr="00AA4511">
        <w:tc>
          <w:tcPr>
            <w:tcW w:w="1441" w:type="dxa"/>
            <w:vAlign w:val="center"/>
          </w:tcPr>
          <w:p w14:paraId="4C602C01" w14:textId="77777777" w:rsidR="00536C7B" w:rsidRPr="002C52FF" w:rsidRDefault="00536C7B" w:rsidP="002C52FF">
            <w:pPr>
              <w:rPr>
                <w:rFonts w:asciiTheme="majorHAnsi" w:hAnsiTheme="majorHAnsi" w:cstheme="majorHAnsi"/>
              </w:rPr>
            </w:pPr>
            <w:r w:rsidRPr="002C52FF">
              <w:rPr>
                <w:rStyle w:val="Strong"/>
                <w:rFonts w:asciiTheme="majorHAnsi" w:hAnsiTheme="majorHAnsi" w:cstheme="majorHAnsi"/>
                <w:b w:val="0"/>
                <w:bCs w:val="0"/>
              </w:rPr>
              <w:t>Pfizer</w:t>
            </w:r>
          </w:p>
        </w:tc>
        <w:tc>
          <w:tcPr>
            <w:tcW w:w="956" w:type="dxa"/>
            <w:vAlign w:val="center"/>
          </w:tcPr>
          <w:p w14:paraId="2084F4A3"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100.3</w:t>
            </w:r>
          </w:p>
        </w:tc>
        <w:tc>
          <w:tcPr>
            <w:tcW w:w="985" w:type="dxa"/>
            <w:vAlign w:val="center"/>
          </w:tcPr>
          <w:p w14:paraId="27A9D5A0"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58.4</w:t>
            </w:r>
          </w:p>
        </w:tc>
        <w:tc>
          <w:tcPr>
            <w:tcW w:w="985" w:type="dxa"/>
            <w:vAlign w:val="center"/>
          </w:tcPr>
          <w:p w14:paraId="39752EBF" w14:textId="77777777" w:rsidR="00536C7B" w:rsidRPr="002C52FF" w:rsidRDefault="00536C7B" w:rsidP="002C52FF">
            <w:pPr>
              <w:rPr>
                <w:rFonts w:asciiTheme="majorHAnsi" w:hAnsiTheme="majorHAnsi" w:cstheme="majorHAnsi"/>
              </w:rPr>
            </w:pPr>
            <w:r w:rsidRPr="002C52FF">
              <w:rPr>
                <w:rStyle w:val="Strong"/>
                <w:rFonts w:asciiTheme="majorHAnsi" w:hAnsiTheme="majorHAnsi" w:cstheme="majorHAnsi"/>
                <w:b w:val="0"/>
                <w:bCs w:val="0"/>
              </w:rPr>
              <w:t>63.6</w:t>
            </w:r>
          </w:p>
        </w:tc>
        <w:tc>
          <w:tcPr>
            <w:tcW w:w="985" w:type="dxa"/>
            <w:vAlign w:val="center"/>
          </w:tcPr>
          <w:p w14:paraId="5F8F2422"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55.0</w:t>
            </w:r>
          </w:p>
        </w:tc>
        <w:tc>
          <w:tcPr>
            <w:tcW w:w="876" w:type="dxa"/>
            <w:vAlign w:val="center"/>
          </w:tcPr>
          <w:p w14:paraId="116A28E3"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31.4</w:t>
            </w:r>
          </w:p>
        </w:tc>
        <w:tc>
          <w:tcPr>
            <w:tcW w:w="876" w:type="dxa"/>
            <w:vAlign w:val="center"/>
          </w:tcPr>
          <w:p w14:paraId="30AF3B99"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2.2</w:t>
            </w:r>
          </w:p>
        </w:tc>
        <w:tc>
          <w:tcPr>
            <w:tcW w:w="876" w:type="dxa"/>
            <w:vAlign w:val="center"/>
          </w:tcPr>
          <w:p w14:paraId="4D8E19B9" w14:textId="77777777" w:rsidR="00536C7B" w:rsidRPr="002C52FF" w:rsidRDefault="00536C7B" w:rsidP="002C52FF">
            <w:pPr>
              <w:rPr>
                <w:rFonts w:asciiTheme="majorHAnsi" w:hAnsiTheme="majorHAnsi" w:cstheme="majorHAnsi"/>
              </w:rPr>
            </w:pPr>
            <w:r w:rsidRPr="002C52FF">
              <w:rPr>
                <w:rStyle w:val="Strong"/>
                <w:rFonts w:asciiTheme="majorHAnsi" w:hAnsiTheme="majorHAnsi" w:cstheme="majorHAnsi"/>
                <w:b w:val="0"/>
                <w:bCs w:val="0"/>
              </w:rPr>
              <w:t>8.0</w:t>
            </w:r>
          </w:p>
        </w:tc>
        <w:tc>
          <w:tcPr>
            <w:tcW w:w="876" w:type="dxa"/>
            <w:vAlign w:val="center"/>
          </w:tcPr>
          <w:p w14:paraId="5F7DB070"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2.6</w:t>
            </w:r>
          </w:p>
        </w:tc>
      </w:tr>
      <w:tr w:rsidR="00536C7B" w:rsidRPr="002C52FF" w14:paraId="70F13EB5" w14:textId="77777777" w:rsidTr="00AA4511">
        <w:tc>
          <w:tcPr>
            <w:tcW w:w="1441" w:type="dxa"/>
            <w:vAlign w:val="center"/>
          </w:tcPr>
          <w:p w14:paraId="7050AE0C" w14:textId="77777777" w:rsidR="00536C7B" w:rsidRPr="002C52FF" w:rsidRDefault="00536C7B" w:rsidP="002C52FF">
            <w:pPr>
              <w:rPr>
                <w:rFonts w:asciiTheme="majorHAnsi" w:hAnsiTheme="majorHAnsi" w:cstheme="majorHAnsi"/>
              </w:rPr>
            </w:pPr>
            <w:r w:rsidRPr="002C52FF">
              <w:rPr>
                <w:rStyle w:val="Strong"/>
                <w:rFonts w:asciiTheme="majorHAnsi" w:hAnsiTheme="majorHAnsi" w:cstheme="majorHAnsi"/>
                <w:b w:val="0"/>
                <w:bCs w:val="0"/>
              </w:rPr>
              <w:t>J&amp;J</w:t>
            </w:r>
          </w:p>
        </w:tc>
        <w:tc>
          <w:tcPr>
            <w:tcW w:w="956" w:type="dxa"/>
            <w:vAlign w:val="center"/>
          </w:tcPr>
          <w:p w14:paraId="6231FA9E"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94.9</w:t>
            </w:r>
          </w:p>
        </w:tc>
        <w:tc>
          <w:tcPr>
            <w:tcW w:w="985" w:type="dxa"/>
            <w:vAlign w:val="center"/>
          </w:tcPr>
          <w:p w14:paraId="32686DC5"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85.2</w:t>
            </w:r>
          </w:p>
        </w:tc>
        <w:tc>
          <w:tcPr>
            <w:tcW w:w="985" w:type="dxa"/>
            <w:vAlign w:val="center"/>
          </w:tcPr>
          <w:p w14:paraId="6B47E765" w14:textId="77777777" w:rsidR="00536C7B" w:rsidRPr="002C52FF" w:rsidRDefault="00536C7B" w:rsidP="002C52FF">
            <w:pPr>
              <w:rPr>
                <w:rFonts w:asciiTheme="majorHAnsi" w:hAnsiTheme="majorHAnsi" w:cstheme="majorHAnsi"/>
              </w:rPr>
            </w:pPr>
            <w:r w:rsidRPr="002C52FF">
              <w:rPr>
                <w:rStyle w:val="Strong"/>
                <w:rFonts w:asciiTheme="majorHAnsi" w:hAnsiTheme="majorHAnsi" w:cstheme="majorHAnsi"/>
                <w:b w:val="0"/>
                <w:bCs w:val="0"/>
              </w:rPr>
              <w:t>88.4</w:t>
            </w:r>
          </w:p>
        </w:tc>
        <w:tc>
          <w:tcPr>
            <w:tcW w:w="985" w:type="dxa"/>
            <w:vAlign w:val="center"/>
          </w:tcPr>
          <w:p w14:paraId="4084FCCF"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88.4</w:t>
            </w:r>
          </w:p>
        </w:tc>
        <w:tc>
          <w:tcPr>
            <w:tcW w:w="876" w:type="dxa"/>
            <w:vAlign w:val="center"/>
          </w:tcPr>
          <w:p w14:paraId="48E3796D"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17.9</w:t>
            </w:r>
          </w:p>
        </w:tc>
        <w:tc>
          <w:tcPr>
            <w:tcW w:w="876" w:type="dxa"/>
            <w:vAlign w:val="center"/>
          </w:tcPr>
          <w:p w14:paraId="59B61779"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14.9</w:t>
            </w:r>
          </w:p>
        </w:tc>
        <w:tc>
          <w:tcPr>
            <w:tcW w:w="876" w:type="dxa"/>
            <w:vAlign w:val="center"/>
          </w:tcPr>
          <w:p w14:paraId="39AF64BC" w14:textId="77777777" w:rsidR="00536C7B" w:rsidRPr="002C52FF" w:rsidRDefault="00536C7B" w:rsidP="002C52FF">
            <w:pPr>
              <w:rPr>
                <w:rFonts w:asciiTheme="majorHAnsi" w:hAnsiTheme="majorHAnsi" w:cstheme="majorHAnsi"/>
              </w:rPr>
            </w:pPr>
            <w:r w:rsidRPr="002C52FF">
              <w:rPr>
                <w:rStyle w:val="Strong"/>
                <w:rFonts w:asciiTheme="majorHAnsi" w:hAnsiTheme="majorHAnsi" w:cstheme="majorHAnsi"/>
                <w:b w:val="0"/>
                <w:bCs w:val="0"/>
              </w:rPr>
              <w:t>16.3</w:t>
            </w:r>
          </w:p>
        </w:tc>
        <w:tc>
          <w:tcPr>
            <w:tcW w:w="876" w:type="dxa"/>
            <w:vAlign w:val="center"/>
          </w:tcPr>
          <w:p w14:paraId="18B849BB"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16.3</w:t>
            </w:r>
          </w:p>
        </w:tc>
      </w:tr>
      <w:tr w:rsidR="00536C7B" w:rsidRPr="002C52FF" w14:paraId="273D6E82" w14:textId="77777777" w:rsidTr="00AA4511">
        <w:tc>
          <w:tcPr>
            <w:tcW w:w="1441" w:type="dxa"/>
            <w:vAlign w:val="center"/>
          </w:tcPr>
          <w:p w14:paraId="71FF934C" w14:textId="77777777" w:rsidR="00536C7B" w:rsidRPr="002C52FF" w:rsidRDefault="00536C7B" w:rsidP="002C52FF">
            <w:pPr>
              <w:rPr>
                <w:rFonts w:asciiTheme="majorHAnsi" w:hAnsiTheme="majorHAnsi" w:cstheme="majorHAnsi"/>
              </w:rPr>
            </w:pPr>
            <w:r w:rsidRPr="002C52FF">
              <w:rPr>
                <w:rStyle w:val="Strong"/>
                <w:rFonts w:asciiTheme="majorHAnsi" w:hAnsiTheme="majorHAnsi" w:cstheme="majorHAnsi"/>
                <w:b w:val="0"/>
                <w:bCs w:val="0"/>
              </w:rPr>
              <w:t>Merck</w:t>
            </w:r>
          </w:p>
        </w:tc>
        <w:tc>
          <w:tcPr>
            <w:tcW w:w="956" w:type="dxa"/>
            <w:vAlign w:val="center"/>
          </w:tcPr>
          <w:p w14:paraId="74C2BA06"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59.3</w:t>
            </w:r>
          </w:p>
        </w:tc>
        <w:tc>
          <w:tcPr>
            <w:tcW w:w="985" w:type="dxa"/>
            <w:vAlign w:val="center"/>
          </w:tcPr>
          <w:p w14:paraId="6D677C47"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63.3</w:t>
            </w:r>
          </w:p>
        </w:tc>
        <w:tc>
          <w:tcPr>
            <w:tcW w:w="985" w:type="dxa"/>
            <w:vAlign w:val="center"/>
          </w:tcPr>
          <w:p w14:paraId="361792A0" w14:textId="77777777" w:rsidR="00536C7B" w:rsidRPr="002C52FF" w:rsidRDefault="00536C7B" w:rsidP="002C52FF">
            <w:pPr>
              <w:rPr>
                <w:rFonts w:asciiTheme="majorHAnsi" w:hAnsiTheme="majorHAnsi" w:cstheme="majorHAnsi"/>
              </w:rPr>
            </w:pPr>
            <w:r w:rsidRPr="002C52FF">
              <w:rPr>
                <w:rStyle w:val="Strong"/>
                <w:rFonts w:asciiTheme="majorHAnsi" w:hAnsiTheme="majorHAnsi" w:cstheme="majorHAnsi"/>
                <w:b w:val="0"/>
                <w:bCs w:val="0"/>
              </w:rPr>
              <w:t>64.2</w:t>
            </w:r>
          </w:p>
        </w:tc>
        <w:tc>
          <w:tcPr>
            <w:tcW w:w="985" w:type="dxa"/>
            <w:vAlign w:val="center"/>
          </w:tcPr>
          <w:p w14:paraId="4160CE14"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67.8</w:t>
            </w:r>
          </w:p>
        </w:tc>
        <w:tc>
          <w:tcPr>
            <w:tcW w:w="876" w:type="dxa"/>
            <w:vAlign w:val="center"/>
          </w:tcPr>
          <w:p w14:paraId="39CEB9D2"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14.5</w:t>
            </w:r>
          </w:p>
        </w:tc>
        <w:tc>
          <w:tcPr>
            <w:tcW w:w="876" w:type="dxa"/>
            <w:vAlign w:val="center"/>
          </w:tcPr>
          <w:p w14:paraId="4ABB7DFD"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13.4</w:t>
            </w:r>
          </w:p>
        </w:tc>
        <w:tc>
          <w:tcPr>
            <w:tcW w:w="876" w:type="dxa"/>
            <w:vAlign w:val="center"/>
          </w:tcPr>
          <w:p w14:paraId="15DD1E71" w14:textId="77777777" w:rsidR="00536C7B" w:rsidRPr="002C52FF" w:rsidRDefault="00536C7B" w:rsidP="002C52FF">
            <w:pPr>
              <w:rPr>
                <w:rFonts w:asciiTheme="majorHAnsi" w:hAnsiTheme="majorHAnsi" w:cstheme="majorHAnsi"/>
              </w:rPr>
            </w:pPr>
            <w:r w:rsidRPr="002C52FF">
              <w:rPr>
                <w:rStyle w:val="Strong"/>
                <w:rFonts w:asciiTheme="majorHAnsi" w:hAnsiTheme="majorHAnsi" w:cstheme="majorHAnsi"/>
                <w:b w:val="0"/>
                <w:bCs w:val="0"/>
              </w:rPr>
              <w:t>17.1</w:t>
            </w:r>
          </w:p>
        </w:tc>
        <w:tc>
          <w:tcPr>
            <w:tcW w:w="876" w:type="dxa"/>
            <w:vAlign w:val="center"/>
          </w:tcPr>
          <w:p w14:paraId="5EE58C1F"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14.1</w:t>
            </w:r>
          </w:p>
        </w:tc>
      </w:tr>
      <w:tr w:rsidR="00536C7B" w:rsidRPr="002C52FF" w14:paraId="1100D1FD" w14:textId="77777777" w:rsidTr="00AA4511">
        <w:tc>
          <w:tcPr>
            <w:tcW w:w="1441" w:type="dxa"/>
            <w:vAlign w:val="center"/>
          </w:tcPr>
          <w:p w14:paraId="7AC5449E" w14:textId="77777777" w:rsidR="00536C7B" w:rsidRPr="002C52FF" w:rsidRDefault="00536C7B" w:rsidP="002C52FF">
            <w:pPr>
              <w:rPr>
                <w:rStyle w:val="Strong"/>
                <w:rFonts w:asciiTheme="majorHAnsi" w:hAnsiTheme="majorHAnsi" w:cstheme="majorHAnsi"/>
                <w:b w:val="0"/>
                <w:bCs w:val="0"/>
              </w:rPr>
            </w:pPr>
            <w:r w:rsidRPr="002C52FF">
              <w:rPr>
                <w:rStyle w:val="Strong"/>
                <w:rFonts w:asciiTheme="majorHAnsi" w:hAnsiTheme="majorHAnsi" w:cstheme="majorHAnsi"/>
                <w:b w:val="0"/>
                <w:bCs w:val="0"/>
              </w:rPr>
              <w:t>GSK</w:t>
            </w:r>
          </w:p>
        </w:tc>
        <w:tc>
          <w:tcPr>
            <w:tcW w:w="956" w:type="dxa"/>
            <w:vAlign w:val="center"/>
          </w:tcPr>
          <w:p w14:paraId="7CE667F7"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36.3</w:t>
            </w:r>
          </w:p>
        </w:tc>
        <w:tc>
          <w:tcPr>
            <w:tcW w:w="985" w:type="dxa"/>
            <w:vAlign w:val="center"/>
          </w:tcPr>
          <w:p w14:paraId="2E2F77A0"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37.5</w:t>
            </w:r>
          </w:p>
        </w:tc>
        <w:tc>
          <w:tcPr>
            <w:tcW w:w="985" w:type="dxa"/>
            <w:vAlign w:val="center"/>
          </w:tcPr>
          <w:p w14:paraId="6E0D0991" w14:textId="77777777" w:rsidR="00536C7B" w:rsidRPr="002C52FF" w:rsidRDefault="00536C7B" w:rsidP="002C52FF">
            <w:pPr>
              <w:rPr>
                <w:rStyle w:val="Strong"/>
                <w:rFonts w:asciiTheme="majorHAnsi" w:hAnsiTheme="majorHAnsi" w:cstheme="majorHAnsi"/>
                <w:b w:val="0"/>
                <w:bCs w:val="0"/>
              </w:rPr>
            </w:pPr>
            <w:r w:rsidRPr="002C52FF">
              <w:rPr>
                <w:rStyle w:val="Strong"/>
                <w:rFonts w:asciiTheme="majorHAnsi" w:hAnsiTheme="majorHAnsi" w:cstheme="majorHAnsi"/>
                <w:b w:val="0"/>
                <w:bCs w:val="0"/>
              </w:rPr>
              <w:t>39.1</w:t>
            </w:r>
          </w:p>
        </w:tc>
        <w:tc>
          <w:tcPr>
            <w:tcW w:w="985" w:type="dxa"/>
            <w:vAlign w:val="center"/>
          </w:tcPr>
          <w:p w14:paraId="0534F4B8"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39.1</w:t>
            </w:r>
          </w:p>
        </w:tc>
        <w:tc>
          <w:tcPr>
            <w:tcW w:w="876" w:type="dxa"/>
            <w:vAlign w:val="center"/>
          </w:tcPr>
          <w:p w14:paraId="5B9CDFD4"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6.0</w:t>
            </w:r>
          </w:p>
        </w:tc>
        <w:tc>
          <w:tcPr>
            <w:tcW w:w="876" w:type="dxa"/>
            <w:vAlign w:val="center"/>
          </w:tcPr>
          <w:p w14:paraId="2C43AF91"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6.6</w:t>
            </w:r>
          </w:p>
        </w:tc>
        <w:tc>
          <w:tcPr>
            <w:tcW w:w="876" w:type="dxa"/>
            <w:vAlign w:val="center"/>
          </w:tcPr>
          <w:p w14:paraId="3BB32890" w14:textId="77777777" w:rsidR="00536C7B" w:rsidRPr="002C52FF" w:rsidRDefault="00536C7B" w:rsidP="002C52FF">
            <w:pPr>
              <w:rPr>
                <w:rStyle w:val="Strong"/>
                <w:rFonts w:asciiTheme="majorHAnsi" w:hAnsiTheme="majorHAnsi" w:cstheme="majorHAnsi"/>
                <w:b w:val="0"/>
                <w:bCs w:val="0"/>
              </w:rPr>
            </w:pPr>
            <w:r w:rsidRPr="002C52FF">
              <w:rPr>
                <w:rStyle w:val="Strong"/>
                <w:rFonts w:asciiTheme="majorHAnsi" w:hAnsiTheme="majorHAnsi" w:cstheme="majorHAnsi"/>
                <w:b w:val="0"/>
                <w:bCs w:val="0"/>
              </w:rPr>
              <w:t>7.0</w:t>
            </w:r>
          </w:p>
        </w:tc>
        <w:tc>
          <w:tcPr>
            <w:tcW w:w="876" w:type="dxa"/>
            <w:vAlign w:val="center"/>
          </w:tcPr>
          <w:p w14:paraId="632802D0" w14:textId="77777777" w:rsidR="00536C7B" w:rsidRPr="002C52FF" w:rsidRDefault="00536C7B" w:rsidP="002C52FF">
            <w:pPr>
              <w:rPr>
                <w:rFonts w:asciiTheme="majorHAnsi" w:hAnsiTheme="majorHAnsi" w:cstheme="majorHAnsi"/>
              </w:rPr>
            </w:pPr>
            <w:r w:rsidRPr="002C52FF">
              <w:rPr>
                <w:rFonts w:asciiTheme="majorHAnsi" w:hAnsiTheme="majorHAnsi" w:cstheme="majorHAnsi"/>
              </w:rPr>
              <w:t>7.0</w:t>
            </w:r>
          </w:p>
        </w:tc>
      </w:tr>
    </w:tbl>
    <w:p w14:paraId="16667394" w14:textId="77777777" w:rsidR="002C52FF" w:rsidRDefault="002C52FF" w:rsidP="002C52FF">
      <w:pPr>
        <w:spacing w:after="0"/>
        <w:rPr>
          <w:rFonts w:asciiTheme="majorHAnsi" w:hAnsiTheme="majorHAnsi" w:cstheme="majorHAnsi"/>
          <w:lang w:val="en-IN"/>
        </w:rPr>
      </w:pPr>
    </w:p>
    <w:p w14:paraId="5FAFC3B9" w14:textId="03A2C4D9" w:rsidR="00BB7BA3" w:rsidRDefault="002C52FF" w:rsidP="002C52FF">
      <w:pPr>
        <w:spacing w:after="0"/>
        <w:rPr>
          <w:rFonts w:asciiTheme="majorHAnsi" w:hAnsiTheme="majorHAnsi" w:cstheme="majorHAnsi"/>
          <w:lang w:val="en-IN"/>
        </w:rPr>
      </w:pPr>
      <w:r w:rsidRPr="002C52FF">
        <w:rPr>
          <w:rFonts w:asciiTheme="majorHAnsi" w:hAnsiTheme="majorHAnsi" w:cstheme="majorHAnsi"/>
          <w:lang w:val="en-IN"/>
        </w:rPr>
        <w:t>The pharmaceutical sector shows mixed performance across the 2022–2025 period. Pfizer experienced a sharp revenue and profit decline post-2022, reflecting reduced COVID-related sales, despite a temporary rebound in 2024. J&amp;J and Merck maintained stable revenue streams, with Merck posting the highest 2024 net income. GSK demonstrated steady growth in both revenue and profitability, supported by its consistent product pipeline.</w:t>
      </w:r>
    </w:p>
    <w:p w14:paraId="1C7B5329" w14:textId="77777777" w:rsidR="002C52FF" w:rsidRDefault="002C52FF" w:rsidP="002C52FF">
      <w:pPr>
        <w:spacing w:after="0"/>
        <w:rPr>
          <w:rFonts w:asciiTheme="majorHAnsi" w:hAnsiTheme="majorHAnsi" w:cstheme="majorHAnsi"/>
          <w:lang w:val="en-IN"/>
        </w:rPr>
      </w:pPr>
    </w:p>
    <w:p w14:paraId="16438CFA" w14:textId="77777777" w:rsidR="002C52FF" w:rsidRPr="002C52FF" w:rsidRDefault="002C52FF" w:rsidP="002C52FF">
      <w:pPr>
        <w:spacing w:after="0"/>
        <w:rPr>
          <w:rFonts w:asciiTheme="majorHAnsi" w:hAnsiTheme="majorHAnsi" w:cstheme="majorHAnsi"/>
          <w:lang w:val="en-IN"/>
        </w:rPr>
      </w:pPr>
    </w:p>
    <w:p w14:paraId="4D1D744F" w14:textId="751C748A" w:rsidR="00002651" w:rsidRPr="002C52FF" w:rsidRDefault="00002651" w:rsidP="002C52FF">
      <w:pPr>
        <w:spacing w:after="0"/>
        <w:rPr>
          <w:rFonts w:asciiTheme="majorHAnsi" w:hAnsiTheme="majorHAnsi" w:cstheme="majorHAnsi"/>
        </w:rPr>
      </w:pPr>
      <w:r w:rsidRPr="002C52FF">
        <w:rPr>
          <w:rFonts w:asciiTheme="majorHAnsi" w:hAnsiTheme="majorHAnsi" w:cstheme="majorHAnsi"/>
        </w:rPr>
        <w:t>Financial Performance (2022–2025, TTM)</w:t>
      </w:r>
    </w:p>
    <w:tbl>
      <w:tblPr>
        <w:tblStyle w:val="TableGrid"/>
        <w:tblW w:w="0" w:type="auto"/>
        <w:tblLook w:val="04A0" w:firstRow="1" w:lastRow="0" w:firstColumn="1" w:lastColumn="0" w:noHBand="0" w:noVBand="1"/>
      </w:tblPr>
      <w:tblGrid>
        <w:gridCol w:w="1726"/>
        <w:gridCol w:w="1726"/>
        <w:gridCol w:w="1726"/>
        <w:gridCol w:w="1726"/>
        <w:gridCol w:w="1726"/>
      </w:tblGrid>
      <w:tr w:rsidR="00D45886" w:rsidRPr="002C52FF" w14:paraId="7DAB1889" w14:textId="77777777" w:rsidTr="00D45886">
        <w:tc>
          <w:tcPr>
            <w:tcW w:w="1728" w:type="dxa"/>
            <w:tcBorders>
              <w:top w:val="single" w:sz="4" w:space="0" w:color="auto"/>
              <w:left w:val="single" w:sz="4" w:space="0" w:color="auto"/>
              <w:bottom w:val="single" w:sz="4" w:space="0" w:color="auto"/>
              <w:right w:val="single" w:sz="4" w:space="0" w:color="auto"/>
            </w:tcBorders>
            <w:hideMark/>
          </w:tcPr>
          <w:p w14:paraId="5E07D25A" w14:textId="77777777" w:rsidR="00D45886" w:rsidRPr="002C52FF" w:rsidRDefault="00D45886" w:rsidP="002C52FF">
            <w:pPr>
              <w:spacing w:line="276" w:lineRule="auto"/>
              <w:rPr>
                <w:rFonts w:asciiTheme="majorHAnsi" w:hAnsiTheme="majorHAnsi" w:cstheme="majorHAnsi"/>
              </w:rPr>
            </w:pPr>
            <w:r w:rsidRPr="002C52FF">
              <w:rPr>
                <w:rFonts w:asciiTheme="majorHAnsi" w:hAnsiTheme="majorHAnsi" w:cstheme="majorHAnsi"/>
              </w:rPr>
              <w:t>Company</w:t>
            </w:r>
          </w:p>
        </w:tc>
        <w:tc>
          <w:tcPr>
            <w:tcW w:w="1728" w:type="dxa"/>
            <w:tcBorders>
              <w:top w:val="single" w:sz="4" w:space="0" w:color="auto"/>
              <w:left w:val="single" w:sz="4" w:space="0" w:color="auto"/>
              <w:bottom w:val="single" w:sz="4" w:space="0" w:color="auto"/>
              <w:right w:val="single" w:sz="4" w:space="0" w:color="auto"/>
            </w:tcBorders>
            <w:hideMark/>
          </w:tcPr>
          <w:p w14:paraId="6D1DA70D" w14:textId="77777777" w:rsidR="00D45886" w:rsidRPr="002C52FF" w:rsidRDefault="00D45886" w:rsidP="002C52FF">
            <w:pPr>
              <w:spacing w:line="276" w:lineRule="auto"/>
              <w:rPr>
                <w:rFonts w:asciiTheme="majorHAnsi" w:hAnsiTheme="majorHAnsi" w:cstheme="majorHAnsi"/>
              </w:rPr>
            </w:pPr>
            <w:r w:rsidRPr="002C52FF">
              <w:rPr>
                <w:rFonts w:asciiTheme="majorHAnsi" w:hAnsiTheme="majorHAnsi" w:cstheme="majorHAnsi"/>
              </w:rPr>
              <w:t>Revenue ($B)</w:t>
            </w:r>
          </w:p>
        </w:tc>
        <w:tc>
          <w:tcPr>
            <w:tcW w:w="1728" w:type="dxa"/>
            <w:tcBorders>
              <w:top w:val="single" w:sz="4" w:space="0" w:color="auto"/>
              <w:left w:val="single" w:sz="4" w:space="0" w:color="auto"/>
              <w:bottom w:val="single" w:sz="4" w:space="0" w:color="auto"/>
              <w:right w:val="single" w:sz="4" w:space="0" w:color="auto"/>
            </w:tcBorders>
            <w:hideMark/>
          </w:tcPr>
          <w:p w14:paraId="259E8E31" w14:textId="77777777" w:rsidR="00D45886" w:rsidRPr="002C52FF" w:rsidRDefault="00D45886" w:rsidP="002C52FF">
            <w:pPr>
              <w:spacing w:line="276" w:lineRule="auto"/>
              <w:rPr>
                <w:rFonts w:asciiTheme="majorHAnsi" w:hAnsiTheme="majorHAnsi" w:cstheme="majorHAnsi"/>
              </w:rPr>
            </w:pPr>
            <w:r w:rsidRPr="002C52FF">
              <w:rPr>
                <w:rFonts w:asciiTheme="majorHAnsi" w:hAnsiTheme="majorHAnsi" w:cstheme="majorHAnsi"/>
              </w:rPr>
              <w:t>YoY Growth</w:t>
            </w:r>
          </w:p>
        </w:tc>
        <w:tc>
          <w:tcPr>
            <w:tcW w:w="1728" w:type="dxa"/>
            <w:tcBorders>
              <w:top w:val="single" w:sz="4" w:space="0" w:color="auto"/>
              <w:left w:val="single" w:sz="4" w:space="0" w:color="auto"/>
              <w:bottom w:val="single" w:sz="4" w:space="0" w:color="auto"/>
              <w:right w:val="single" w:sz="4" w:space="0" w:color="auto"/>
            </w:tcBorders>
            <w:hideMark/>
          </w:tcPr>
          <w:p w14:paraId="4EC1BA01" w14:textId="77777777" w:rsidR="00D45886" w:rsidRPr="002C52FF" w:rsidRDefault="00D45886" w:rsidP="002C52FF">
            <w:pPr>
              <w:spacing w:line="276" w:lineRule="auto"/>
              <w:rPr>
                <w:rFonts w:asciiTheme="majorHAnsi" w:hAnsiTheme="majorHAnsi" w:cstheme="majorHAnsi"/>
              </w:rPr>
            </w:pPr>
            <w:r w:rsidRPr="002C52FF">
              <w:rPr>
                <w:rFonts w:asciiTheme="majorHAnsi" w:hAnsiTheme="majorHAnsi" w:cstheme="majorHAnsi"/>
              </w:rPr>
              <w:t>Net Income ($B)</w:t>
            </w:r>
          </w:p>
        </w:tc>
        <w:tc>
          <w:tcPr>
            <w:tcW w:w="1728" w:type="dxa"/>
            <w:tcBorders>
              <w:top w:val="single" w:sz="4" w:space="0" w:color="auto"/>
              <w:left w:val="single" w:sz="4" w:space="0" w:color="auto"/>
              <w:bottom w:val="single" w:sz="4" w:space="0" w:color="auto"/>
              <w:right w:val="single" w:sz="4" w:space="0" w:color="auto"/>
            </w:tcBorders>
            <w:hideMark/>
          </w:tcPr>
          <w:p w14:paraId="790987C9" w14:textId="77777777" w:rsidR="00D45886" w:rsidRPr="002C52FF" w:rsidRDefault="00D45886" w:rsidP="002C52FF">
            <w:pPr>
              <w:spacing w:line="276" w:lineRule="auto"/>
              <w:rPr>
                <w:rFonts w:asciiTheme="majorHAnsi" w:hAnsiTheme="majorHAnsi" w:cstheme="majorHAnsi"/>
              </w:rPr>
            </w:pPr>
            <w:r w:rsidRPr="002C52FF">
              <w:rPr>
                <w:rFonts w:asciiTheme="majorHAnsi" w:hAnsiTheme="majorHAnsi" w:cstheme="majorHAnsi"/>
              </w:rPr>
              <w:t>Net Margin</w:t>
            </w:r>
          </w:p>
        </w:tc>
      </w:tr>
      <w:tr w:rsidR="00D45886" w:rsidRPr="002C52FF" w14:paraId="375B6DA3" w14:textId="77777777" w:rsidTr="00D45886">
        <w:tc>
          <w:tcPr>
            <w:tcW w:w="1728" w:type="dxa"/>
            <w:tcBorders>
              <w:top w:val="single" w:sz="4" w:space="0" w:color="auto"/>
              <w:left w:val="single" w:sz="4" w:space="0" w:color="auto"/>
              <w:bottom w:val="single" w:sz="4" w:space="0" w:color="auto"/>
              <w:right w:val="single" w:sz="4" w:space="0" w:color="auto"/>
            </w:tcBorders>
            <w:hideMark/>
          </w:tcPr>
          <w:p w14:paraId="27D93CFA" w14:textId="77777777" w:rsidR="00D45886" w:rsidRPr="002C52FF" w:rsidRDefault="00D45886" w:rsidP="002C52FF">
            <w:pPr>
              <w:spacing w:line="276" w:lineRule="auto"/>
              <w:rPr>
                <w:rFonts w:asciiTheme="majorHAnsi" w:hAnsiTheme="majorHAnsi" w:cstheme="majorHAnsi"/>
              </w:rPr>
            </w:pPr>
            <w:r w:rsidRPr="002C52FF">
              <w:rPr>
                <w:rFonts w:asciiTheme="majorHAnsi" w:hAnsiTheme="majorHAnsi" w:cstheme="majorHAnsi"/>
              </w:rPr>
              <w:t>Pfizer</w:t>
            </w:r>
          </w:p>
        </w:tc>
        <w:tc>
          <w:tcPr>
            <w:tcW w:w="1728" w:type="dxa"/>
            <w:tcBorders>
              <w:top w:val="single" w:sz="4" w:space="0" w:color="auto"/>
              <w:left w:val="single" w:sz="4" w:space="0" w:color="auto"/>
              <w:bottom w:val="single" w:sz="4" w:space="0" w:color="auto"/>
              <w:right w:val="single" w:sz="4" w:space="0" w:color="auto"/>
            </w:tcBorders>
            <w:hideMark/>
          </w:tcPr>
          <w:p w14:paraId="54050A60" w14:textId="77777777" w:rsidR="00D45886" w:rsidRPr="002C52FF" w:rsidRDefault="00D45886" w:rsidP="002C52FF">
            <w:pPr>
              <w:spacing w:line="276" w:lineRule="auto"/>
              <w:rPr>
                <w:rFonts w:asciiTheme="majorHAnsi" w:hAnsiTheme="majorHAnsi" w:cstheme="majorHAnsi"/>
              </w:rPr>
            </w:pPr>
            <w:r w:rsidRPr="002C52FF">
              <w:rPr>
                <w:rFonts w:asciiTheme="majorHAnsi" w:hAnsiTheme="majorHAnsi" w:cstheme="majorHAnsi"/>
              </w:rPr>
              <w:t>55.0</w:t>
            </w:r>
          </w:p>
        </w:tc>
        <w:tc>
          <w:tcPr>
            <w:tcW w:w="1728" w:type="dxa"/>
            <w:tcBorders>
              <w:top w:val="single" w:sz="4" w:space="0" w:color="auto"/>
              <w:left w:val="single" w:sz="4" w:space="0" w:color="auto"/>
              <w:bottom w:val="single" w:sz="4" w:space="0" w:color="auto"/>
              <w:right w:val="single" w:sz="4" w:space="0" w:color="auto"/>
            </w:tcBorders>
            <w:hideMark/>
          </w:tcPr>
          <w:p w14:paraId="606BF09F" w14:textId="77777777" w:rsidR="00D45886" w:rsidRPr="002C52FF" w:rsidRDefault="00D45886" w:rsidP="002C52FF">
            <w:pPr>
              <w:spacing w:line="276" w:lineRule="auto"/>
              <w:rPr>
                <w:rFonts w:asciiTheme="majorHAnsi" w:hAnsiTheme="majorHAnsi" w:cstheme="majorHAnsi"/>
              </w:rPr>
            </w:pPr>
            <w:r w:rsidRPr="002C52FF">
              <w:rPr>
                <w:rFonts w:asciiTheme="majorHAnsi" w:hAnsiTheme="majorHAnsi" w:cstheme="majorHAnsi"/>
              </w:rPr>
              <w:t>-13.6%</w:t>
            </w:r>
          </w:p>
        </w:tc>
        <w:tc>
          <w:tcPr>
            <w:tcW w:w="1728" w:type="dxa"/>
            <w:tcBorders>
              <w:top w:val="single" w:sz="4" w:space="0" w:color="auto"/>
              <w:left w:val="single" w:sz="4" w:space="0" w:color="auto"/>
              <w:bottom w:val="single" w:sz="4" w:space="0" w:color="auto"/>
              <w:right w:val="single" w:sz="4" w:space="0" w:color="auto"/>
            </w:tcBorders>
            <w:hideMark/>
          </w:tcPr>
          <w:p w14:paraId="27FAE53F" w14:textId="77777777" w:rsidR="00D45886" w:rsidRPr="002C52FF" w:rsidRDefault="00D45886" w:rsidP="002C52FF">
            <w:pPr>
              <w:spacing w:line="276" w:lineRule="auto"/>
              <w:rPr>
                <w:rFonts w:asciiTheme="majorHAnsi" w:hAnsiTheme="majorHAnsi" w:cstheme="majorHAnsi"/>
              </w:rPr>
            </w:pPr>
            <w:r w:rsidRPr="002C52FF">
              <w:rPr>
                <w:rFonts w:asciiTheme="majorHAnsi" w:hAnsiTheme="majorHAnsi" w:cstheme="majorHAnsi"/>
              </w:rPr>
              <w:t>2.6</w:t>
            </w:r>
          </w:p>
        </w:tc>
        <w:tc>
          <w:tcPr>
            <w:tcW w:w="1728" w:type="dxa"/>
            <w:tcBorders>
              <w:top w:val="single" w:sz="4" w:space="0" w:color="auto"/>
              <w:left w:val="single" w:sz="4" w:space="0" w:color="auto"/>
              <w:bottom w:val="single" w:sz="4" w:space="0" w:color="auto"/>
              <w:right w:val="single" w:sz="4" w:space="0" w:color="auto"/>
            </w:tcBorders>
            <w:hideMark/>
          </w:tcPr>
          <w:p w14:paraId="5F39616D" w14:textId="77777777" w:rsidR="00D45886" w:rsidRPr="002C52FF" w:rsidRDefault="00D45886" w:rsidP="002C52FF">
            <w:pPr>
              <w:spacing w:line="276" w:lineRule="auto"/>
              <w:rPr>
                <w:rFonts w:asciiTheme="majorHAnsi" w:hAnsiTheme="majorHAnsi" w:cstheme="majorHAnsi"/>
              </w:rPr>
            </w:pPr>
            <w:r w:rsidRPr="002C52FF">
              <w:rPr>
                <w:rFonts w:asciiTheme="majorHAnsi" w:hAnsiTheme="majorHAnsi" w:cstheme="majorHAnsi"/>
              </w:rPr>
              <w:t>~4.7%</w:t>
            </w:r>
          </w:p>
        </w:tc>
      </w:tr>
      <w:tr w:rsidR="00D45886" w:rsidRPr="002C52FF" w14:paraId="2357A1A8" w14:textId="77777777" w:rsidTr="00D45886">
        <w:tc>
          <w:tcPr>
            <w:tcW w:w="1728" w:type="dxa"/>
            <w:tcBorders>
              <w:top w:val="single" w:sz="4" w:space="0" w:color="auto"/>
              <w:left w:val="single" w:sz="4" w:space="0" w:color="auto"/>
              <w:bottom w:val="single" w:sz="4" w:space="0" w:color="auto"/>
              <w:right w:val="single" w:sz="4" w:space="0" w:color="auto"/>
            </w:tcBorders>
            <w:hideMark/>
          </w:tcPr>
          <w:p w14:paraId="4989D44A" w14:textId="77777777" w:rsidR="00D45886" w:rsidRPr="002C52FF" w:rsidRDefault="00D45886" w:rsidP="002C52FF">
            <w:pPr>
              <w:spacing w:line="276" w:lineRule="auto"/>
              <w:rPr>
                <w:rFonts w:asciiTheme="majorHAnsi" w:hAnsiTheme="majorHAnsi" w:cstheme="majorHAnsi"/>
              </w:rPr>
            </w:pPr>
            <w:r w:rsidRPr="002C52FF">
              <w:rPr>
                <w:rFonts w:asciiTheme="majorHAnsi" w:hAnsiTheme="majorHAnsi" w:cstheme="majorHAnsi"/>
              </w:rPr>
              <w:t>J&amp;J</w:t>
            </w:r>
          </w:p>
        </w:tc>
        <w:tc>
          <w:tcPr>
            <w:tcW w:w="1728" w:type="dxa"/>
            <w:tcBorders>
              <w:top w:val="single" w:sz="4" w:space="0" w:color="auto"/>
              <w:left w:val="single" w:sz="4" w:space="0" w:color="auto"/>
              <w:bottom w:val="single" w:sz="4" w:space="0" w:color="auto"/>
              <w:right w:val="single" w:sz="4" w:space="0" w:color="auto"/>
            </w:tcBorders>
            <w:hideMark/>
          </w:tcPr>
          <w:p w14:paraId="47A1FF10" w14:textId="77777777" w:rsidR="00D45886" w:rsidRPr="002C52FF" w:rsidRDefault="00D45886" w:rsidP="002C52FF">
            <w:pPr>
              <w:spacing w:line="276" w:lineRule="auto"/>
              <w:rPr>
                <w:rFonts w:asciiTheme="majorHAnsi" w:hAnsiTheme="majorHAnsi" w:cstheme="majorHAnsi"/>
              </w:rPr>
            </w:pPr>
            <w:r w:rsidRPr="002C52FF">
              <w:rPr>
                <w:rFonts w:asciiTheme="majorHAnsi" w:hAnsiTheme="majorHAnsi" w:cstheme="majorHAnsi"/>
              </w:rPr>
              <w:t>88.4</w:t>
            </w:r>
          </w:p>
        </w:tc>
        <w:tc>
          <w:tcPr>
            <w:tcW w:w="1728" w:type="dxa"/>
            <w:tcBorders>
              <w:top w:val="single" w:sz="4" w:space="0" w:color="auto"/>
              <w:left w:val="single" w:sz="4" w:space="0" w:color="auto"/>
              <w:bottom w:val="single" w:sz="4" w:space="0" w:color="auto"/>
              <w:right w:val="single" w:sz="4" w:space="0" w:color="auto"/>
            </w:tcBorders>
            <w:hideMark/>
          </w:tcPr>
          <w:p w14:paraId="2CC2DD09" w14:textId="77777777" w:rsidR="00D45886" w:rsidRPr="002C52FF" w:rsidRDefault="00D45886" w:rsidP="002C52FF">
            <w:pPr>
              <w:spacing w:line="276" w:lineRule="auto"/>
              <w:rPr>
                <w:rFonts w:asciiTheme="majorHAnsi" w:hAnsiTheme="majorHAnsi" w:cstheme="majorHAnsi"/>
              </w:rPr>
            </w:pPr>
            <w:r w:rsidRPr="002C52FF">
              <w:rPr>
                <w:rFonts w:asciiTheme="majorHAnsi" w:hAnsiTheme="majorHAnsi" w:cstheme="majorHAnsi"/>
              </w:rPr>
              <w:t>+3.8%</w:t>
            </w:r>
          </w:p>
        </w:tc>
        <w:tc>
          <w:tcPr>
            <w:tcW w:w="1728" w:type="dxa"/>
            <w:tcBorders>
              <w:top w:val="single" w:sz="4" w:space="0" w:color="auto"/>
              <w:left w:val="single" w:sz="4" w:space="0" w:color="auto"/>
              <w:bottom w:val="single" w:sz="4" w:space="0" w:color="auto"/>
              <w:right w:val="single" w:sz="4" w:space="0" w:color="auto"/>
            </w:tcBorders>
            <w:hideMark/>
          </w:tcPr>
          <w:p w14:paraId="4AA65C0A" w14:textId="77777777" w:rsidR="00D45886" w:rsidRPr="002C52FF" w:rsidRDefault="00D45886" w:rsidP="002C52FF">
            <w:pPr>
              <w:spacing w:line="276" w:lineRule="auto"/>
              <w:rPr>
                <w:rFonts w:asciiTheme="majorHAnsi" w:hAnsiTheme="majorHAnsi" w:cstheme="majorHAnsi"/>
              </w:rPr>
            </w:pPr>
            <w:r w:rsidRPr="002C52FF">
              <w:rPr>
                <w:rFonts w:asciiTheme="majorHAnsi" w:hAnsiTheme="majorHAnsi" w:cstheme="majorHAnsi"/>
              </w:rPr>
              <w:t>16.3</w:t>
            </w:r>
          </w:p>
        </w:tc>
        <w:tc>
          <w:tcPr>
            <w:tcW w:w="1728" w:type="dxa"/>
            <w:tcBorders>
              <w:top w:val="single" w:sz="4" w:space="0" w:color="auto"/>
              <w:left w:val="single" w:sz="4" w:space="0" w:color="auto"/>
              <w:bottom w:val="single" w:sz="4" w:space="0" w:color="auto"/>
              <w:right w:val="single" w:sz="4" w:space="0" w:color="auto"/>
            </w:tcBorders>
            <w:hideMark/>
          </w:tcPr>
          <w:p w14:paraId="6B25C731" w14:textId="77777777" w:rsidR="00D45886" w:rsidRPr="002C52FF" w:rsidRDefault="00D45886" w:rsidP="002C52FF">
            <w:pPr>
              <w:spacing w:line="276" w:lineRule="auto"/>
              <w:rPr>
                <w:rFonts w:asciiTheme="majorHAnsi" w:hAnsiTheme="majorHAnsi" w:cstheme="majorHAnsi"/>
              </w:rPr>
            </w:pPr>
            <w:r w:rsidRPr="002C52FF">
              <w:rPr>
                <w:rFonts w:asciiTheme="majorHAnsi" w:hAnsiTheme="majorHAnsi" w:cstheme="majorHAnsi"/>
              </w:rPr>
              <w:t>~18.4%</w:t>
            </w:r>
          </w:p>
        </w:tc>
      </w:tr>
      <w:tr w:rsidR="00D45886" w:rsidRPr="002C52FF" w14:paraId="70488378" w14:textId="77777777" w:rsidTr="00D45886">
        <w:tc>
          <w:tcPr>
            <w:tcW w:w="1728" w:type="dxa"/>
            <w:tcBorders>
              <w:top w:val="single" w:sz="4" w:space="0" w:color="auto"/>
              <w:left w:val="single" w:sz="4" w:space="0" w:color="auto"/>
              <w:bottom w:val="single" w:sz="4" w:space="0" w:color="auto"/>
              <w:right w:val="single" w:sz="4" w:space="0" w:color="auto"/>
            </w:tcBorders>
            <w:hideMark/>
          </w:tcPr>
          <w:p w14:paraId="73E1716F" w14:textId="77777777" w:rsidR="00D45886" w:rsidRPr="002C52FF" w:rsidRDefault="00D45886" w:rsidP="002C52FF">
            <w:pPr>
              <w:spacing w:line="276" w:lineRule="auto"/>
              <w:rPr>
                <w:rFonts w:asciiTheme="majorHAnsi" w:hAnsiTheme="majorHAnsi" w:cstheme="majorHAnsi"/>
              </w:rPr>
            </w:pPr>
            <w:r w:rsidRPr="002C52FF">
              <w:rPr>
                <w:rFonts w:asciiTheme="majorHAnsi" w:hAnsiTheme="majorHAnsi" w:cstheme="majorHAnsi"/>
              </w:rPr>
              <w:t>Merck</w:t>
            </w:r>
          </w:p>
        </w:tc>
        <w:tc>
          <w:tcPr>
            <w:tcW w:w="1728" w:type="dxa"/>
            <w:tcBorders>
              <w:top w:val="single" w:sz="4" w:space="0" w:color="auto"/>
              <w:left w:val="single" w:sz="4" w:space="0" w:color="auto"/>
              <w:bottom w:val="single" w:sz="4" w:space="0" w:color="auto"/>
              <w:right w:val="single" w:sz="4" w:space="0" w:color="auto"/>
            </w:tcBorders>
            <w:hideMark/>
          </w:tcPr>
          <w:p w14:paraId="2AC9B380" w14:textId="77777777" w:rsidR="00D45886" w:rsidRPr="002C52FF" w:rsidRDefault="00D45886" w:rsidP="002C52FF">
            <w:pPr>
              <w:spacing w:line="276" w:lineRule="auto"/>
              <w:rPr>
                <w:rFonts w:asciiTheme="majorHAnsi" w:hAnsiTheme="majorHAnsi" w:cstheme="majorHAnsi"/>
              </w:rPr>
            </w:pPr>
            <w:r w:rsidRPr="002C52FF">
              <w:rPr>
                <w:rFonts w:asciiTheme="majorHAnsi" w:hAnsiTheme="majorHAnsi" w:cstheme="majorHAnsi"/>
              </w:rPr>
              <w:t>67.8</w:t>
            </w:r>
          </w:p>
        </w:tc>
        <w:tc>
          <w:tcPr>
            <w:tcW w:w="1728" w:type="dxa"/>
            <w:tcBorders>
              <w:top w:val="single" w:sz="4" w:space="0" w:color="auto"/>
              <w:left w:val="single" w:sz="4" w:space="0" w:color="auto"/>
              <w:bottom w:val="single" w:sz="4" w:space="0" w:color="auto"/>
              <w:right w:val="single" w:sz="4" w:space="0" w:color="auto"/>
            </w:tcBorders>
            <w:hideMark/>
          </w:tcPr>
          <w:p w14:paraId="16F7F8DD" w14:textId="77777777" w:rsidR="00D45886" w:rsidRPr="002C52FF" w:rsidRDefault="00D45886" w:rsidP="002C52FF">
            <w:pPr>
              <w:spacing w:line="276" w:lineRule="auto"/>
              <w:rPr>
                <w:rFonts w:asciiTheme="majorHAnsi" w:hAnsiTheme="majorHAnsi" w:cstheme="majorHAnsi"/>
              </w:rPr>
            </w:pPr>
            <w:r w:rsidRPr="002C52FF">
              <w:rPr>
                <w:rFonts w:asciiTheme="majorHAnsi" w:hAnsiTheme="majorHAnsi" w:cstheme="majorHAnsi"/>
              </w:rPr>
              <w:t>+7.1%</w:t>
            </w:r>
          </w:p>
        </w:tc>
        <w:tc>
          <w:tcPr>
            <w:tcW w:w="1728" w:type="dxa"/>
            <w:tcBorders>
              <w:top w:val="single" w:sz="4" w:space="0" w:color="auto"/>
              <w:left w:val="single" w:sz="4" w:space="0" w:color="auto"/>
              <w:bottom w:val="single" w:sz="4" w:space="0" w:color="auto"/>
              <w:right w:val="single" w:sz="4" w:space="0" w:color="auto"/>
            </w:tcBorders>
            <w:hideMark/>
          </w:tcPr>
          <w:p w14:paraId="4212F513" w14:textId="77777777" w:rsidR="00D45886" w:rsidRPr="002C52FF" w:rsidRDefault="00D45886" w:rsidP="002C52FF">
            <w:pPr>
              <w:spacing w:line="276" w:lineRule="auto"/>
              <w:rPr>
                <w:rFonts w:asciiTheme="majorHAnsi" w:hAnsiTheme="majorHAnsi" w:cstheme="majorHAnsi"/>
              </w:rPr>
            </w:pPr>
            <w:r w:rsidRPr="002C52FF">
              <w:rPr>
                <w:rFonts w:asciiTheme="majorHAnsi" w:hAnsiTheme="majorHAnsi" w:cstheme="majorHAnsi"/>
              </w:rPr>
              <w:t>14.1</w:t>
            </w:r>
          </w:p>
        </w:tc>
        <w:tc>
          <w:tcPr>
            <w:tcW w:w="1728" w:type="dxa"/>
            <w:tcBorders>
              <w:top w:val="single" w:sz="4" w:space="0" w:color="auto"/>
              <w:left w:val="single" w:sz="4" w:space="0" w:color="auto"/>
              <w:bottom w:val="single" w:sz="4" w:space="0" w:color="auto"/>
              <w:right w:val="single" w:sz="4" w:space="0" w:color="auto"/>
            </w:tcBorders>
            <w:hideMark/>
          </w:tcPr>
          <w:p w14:paraId="6C50BBFB" w14:textId="77777777" w:rsidR="00D45886" w:rsidRPr="002C52FF" w:rsidRDefault="00D45886" w:rsidP="002C52FF">
            <w:pPr>
              <w:spacing w:line="276" w:lineRule="auto"/>
              <w:rPr>
                <w:rFonts w:asciiTheme="majorHAnsi" w:hAnsiTheme="majorHAnsi" w:cstheme="majorHAnsi"/>
              </w:rPr>
            </w:pPr>
            <w:r w:rsidRPr="002C52FF">
              <w:rPr>
                <w:rFonts w:asciiTheme="majorHAnsi" w:hAnsiTheme="majorHAnsi" w:cstheme="majorHAnsi"/>
              </w:rPr>
              <w:t>~20.8%</w:t>
            </w:r>
          </w:p>
        </w:tc>
      </w:tr>
      <w:tr w:rsidR="00D45886" w:rsidRPr="002C52FF" w14:paraId="14F086B0" w14:textId="77777777" w:rsidTr="00D45886">
        <w:tc>
          <w:tcPr>
            <w:tcW w:w="1728" w:type="dxa"/>
            <w:tcBorders>
              <w:top w:val="single" w:sz="4" w:space="0" w:color="auto"/>
              <w:left w:val="single" w:sz="4" w:space="0" w:color="auto"/>
              <w:bottom w:val="single" w:sz="4" w:space="0" w:color="auto"/>
              <w:right w:val="single" w:sz="4" w:space="0" w:color="auto"/>
            </w:tcBorders>
            <w:hideMark/>
          </w:tcPr>
          <w:p w14:paraId="28E87307" w14:textId="77777777" w:rsidR="00D45886" w:rsidRPr="002C52FF" w:rsidRDefault="00D45886" w:rsidP="002C52FF">
            <w:pPr>
              <w:spacing w:line="276" w:lineRule="auto"/>
              <w:rPr>
                <w:rFonts w:asciiTheme="majorHAnsi" w:hAnsiTheme="majorHAnsi" w:cstheme="majorHAnsi"/>
              </w:rPr>
            </w:pPr>
            <w:r w:rsidRPr="002C52FF">
              <w:rPr>
                <w:rFonts w:asciiTheme="majorHAnsi" w:hAnsiTheme="majorHAnsi" w:cstheme="majorHAnsi"/>
              </w:rPr>
              <w:t>GSK</w:t>
            </w:r>
          </w:p>
        </w:tc>
        <w:tc>
          <w:tcPr>
            <w:tcW w:w="1728" w:type="dxa"/>
            <w:tcBorders>
              <w:top w:val="single" w:sz="4" w:space="0" w:color="auto"/>
              <w:left w:val="single" w:sz="4" w:space="0" w:color="auto"/>
              <w:bottom w:val="single" w:sz="4" w:space="0" w:color="auto"/>
              <w:right w:val="single" w:sz="4" w:space="0" w:color="auto"/>
            </w:tcBorders>
            <w:hideMark/>
          </w:tcPr>
          <w:p w14:paraId="7891A4B0" w14:textId="77777777" w:rsidR="00D45886" w:rsidRPr="002C52FF" w:rsidRDefault="00D45886" w:rsidP="002C52FF">
            <w:pPr>
              <w:spacing w:line="276" w:lineRule="auto"/>
              <w:rPr>
                <w:rFonts w:asciiTheme="majorHAnsi" w:hAnsiTheme="majorHAnsi" w:cstheme="majorHAnsi"/>
              </w:rPr>
            </w:pPr>
            <w:r w:rsidRPr="002C52FF">
              <w:rPr>
                <w:rFonts w:asciiTheme="majorHAnsi" w:hAnsiTheme="majorHAnsi" w:cstheme="majorHAnsi"/>
              </w:rPr>
              <w:t>39.1</w:t>
            </w:r>
          </w:p>
        </w:tc>
        <w:tc>
          <w:tcPr>
            <w:tcW w:w="1728" w:type="dxa"/>
            <w:tcBorders>
              <w:top w:val="single" w:sz="4" w:space="0" w:color="auto"/>
              <w:left w:val="single" w:sz="4" w:space="0" w:color="auto"/>
              <w:bottom w:val="single" w:sz="4" w:space="0" w:color="auto"/>
              <w:right w:val="single" w:sz="4" w:space="0" w:color="auto"/>
            </w:tcBorders>
            <w:hideMark/>
          </w:tcPr>
          <w:p w14:paraId="0667E947" w14:textId="77777777" w:rsidR="00D45886" w:rsidRPr="002C52FF" w:rsidRDefault="00D45886" w:rsidP="002C52FF">
            <w:pPr>
              <w:spacing w:line="276" w:lineRule="auto"/>
              <w:rPr>
                <w:rFonts w:asciiTheme="majorHAnsi" w:hAnsiTheme="majorHAnsi" w:cstheme="majorHAnsi"/>
              </w:rPr>
            </w:pPr>
            <w:r w:rsidRPr="002C52FF">
              <w:rPr>
                <w:rFonts w:asciiTheme="majorHAnsi" w:hAnsiTheme="majorHAnsi" w:cstheme="majorHAnsi"/>
              </w:rPr>
              <w:t>+4.3%</w:t>
            </w:r>
          </w:p>
        </w:tc>
        <w:tc>
          <w:tcPr>
            <w:tcW w:w="1728" w:type="dxa"/>
            <w:tcBorders>
              <w:top w:val="single" w:sz="4" w:space="0" w:color="auto"/>
              <w:left w:val="single" w:sz="4" w:space="0" w:color="auto"/>
              <w:bottom w:val="single" w:sz="4" w:space="0" w:color="auto"/>
              <w:right w:val="single" w:sz="4" w:space="0" w:color="auto"/>
            </w:tcBorders>
            <w:hideMark/>
          </w:tcPr>
          <w:p w14:paraId="5B6D0DA7" w14:textId="77777777" w:rsidR="00D45886" w:rsidRPr="002C52FF" w:rsidRDefault="00D45886" w:rsidP="002C52FF">
            <w:pPr>
              <w:spacing w:line="276" w:lineRule="auto"/>
              <w:rPr>
                <w:rFonts w:asciiTheme="majorHAnsi" w:hAnsiTheme="majorHAnsi" w:cstheme="majorHAnsi"/>
              </w:rPr>
            </w:pPr>
            <w:r w:rsidRPr="002C52FF">
              <w:rPr>
                <w:rFonts w:asciiTheme="majorHAnsi" w:hAnsiTheme="majorHAnsi" w:cstheme="majorHAnsi"/>
              </w:rPr>
              <w:t>7.0</w:t>
            </w:r>
          </w:p>
        </w:tc>
        <w:tc>
          <w:tcPr>
            <w:tcW w:w="1728" w:type="dxa"/>
            <w:tcBorders>
              <w:top w:val="single" w:sz="4" w:space="0" w:color="auto"/>
              <w:left w:val="single" w:sz="4" w:space="0" w:color="auto"/>
              <w:bottom w:val="single" w:sz="4" w:space="0" w:color="auto"/>
              <w:right w:val="single" w:sz="4" w:space="0" w:color="auto"/>
            </w:tcBorders>
            <w:hideMark/>
          </w:tcPr>
          <w:p w14:paraId="01B196BD" w14:textId="77777777" w:rsidR="00D45886" w:rsidRPr="002C52FF" w:rsidRDefault="00D45886" w:rsidP="002C52FF">
            <w:pPr>
              <w:spacing w:line="276" w:lineRule="auto"/>
              <w:rPr>
                <w:rFonts w:asciiTheme="majorHAnsi" w:hAnsiTheme="majorHAnsi" w:cstheme="majorHAnsi"/>
              </w:rPr>
            </w:pPr>
            <w:r w:rsidRPr="002C52FF">
              <w:rPr>
                <w:rFonts w:asciiTheme="majorHAnsi" w:hAnsiTheme="majorHAnsi" w:cstheme="majorHAnsi"/>
              </w:rPr>
              <w:t>~17.9%</w:t>
            </w:r>
          </w:p>
        </w:tc>
      </w:tr>
    </w:tbl>
    <w:p w14:paraId="5D9F6AF9" w14:textId="77777777" w:rsidR="0099246F" w:rsidRPr="002C52FF" w:rsidRDefault="0099246F" w:rsidP="002C52FF">
      <w:pPr>
        <w:spacing w:after="0"/>
        <w:rPr>
          <w:rFonts w:asciiTheme="majorHAnsi" w:hAnsiTheme="majorHAnsi" w:cstheme="majorHAnsi"/>
        </w:rPr>
      </w:pPr>
    </w:p>
    <w:p w14:paraId="4C0F0A19" w14:textId="47D7C22D" w:rsidR="00002651" w:rsidRPr="002C52FF" w:rsidRDefault="00002651" w:rsidP="002C52FF">
      <w:pPr>
        <w:spacing w:after="0"/>
        <w:rPr>
          <w:rFonts w:asciiTheme="majorHAnsi" w:hAnsiTheme="majorHAnsi" w:cstheme="majorHAnsi"/>
        </w:rPr>
      </w:pPr>
      <w:r w:rsidRPr="002C52FF">
        <w:rPr>
          <w:rFonts w:asciiTheme="majorHAnsi" w:hAnsiTheme="majorHAnsi" w:cstheme="majorHAnsi"/>
          <w:b/>
          <w:bCs/>
        </w:rPr>
        <w:lastRenderedPageBreak/>
        <w:t>1. Revenue &amp; Scale</w:t>
      </w:r>
      <w:r w:rsidR="0099246F" w:rsidRPr="002C52FF">
        <w:rPr>
          <w:rFonts w:asciiTheme="majorHAnsi" w:hAnsiTheme="majorHAnsi" w:cstheme="majorHAnsi"/>
        </w:rPr>
        <w:t>:</w:t>
      </w:r>
      <w:r w:rsidRPr="002C52FF">
        <w:rPr>
          <w:rFonts w:asciiTheme="majorHAnsi" w:hAnsiTheme="majorHAnsi" w:cstheme="majorHAnsi"/>
        </w:rPr>
        <w:br/>
        <w:t>Pfizer led in 2022 with an exceptional $100.3 billion in revenue, largely driven by COVID-19 vaccine sales. However, revenues have since normalized to $55.0 billion in 2025. Johnson &amp; Johnson (J&amp;J) remains strong at $88.4 billion, supported by a broad product portfolio. Merck ($67.8B) and GSK ($39.1B) are smaller but consistent performers.</w:t>
      </w:r>
    </w:p>
    <w:p w14:paraId="11CB6D07" w14:textId="204F9192" w:rsidR="0099246F" w:rsidRPr="002C52FF" w:rsidRDefault="00002651" w:rsidP="002C52FF">
      <w:pPr>
        <w:spacing w:after="0"/>
        <w:rPr>
          <w:rFonts w:asciiTheme="majorHAnsi" w:hAnsiTheme="majorHAnsi" w:cstheme="majorHAnsi"/>
        </w:rPr>
      </w:pPr>
      <w:r w:rsidRPr="002C52FF">
        <w:rPr>
          <w:rFonts w:asciiTheme="majorHAnsi" w:hAnsiTheme="majorHAnsi" w:cstheme="majorHAnsi"/>
          <w:b/>
          <w:bCs/>
        </w:rPr>
        <w:t>2. Profitability Efficiency</w:t>
      </w:r>
      <w:r w:rsidRPr="002C52FF">
        <w:rPr>
          <w:rFonts w:asciiTheme="majorHAnsi" w:hAnsiTheme="majorHAnsi" w:cstheme="majorHAnsi"/>
        </w:rPr>
        <w:br/>
        <w:t>Pfizer's net income dropped from $31.4B in 2022 to $2.6B in 2025 due to fading vaccine-related revenues. J&amp;J maintains strong and stable profits ($16.3B), while Merck and GSK continue to generate healthy margins in their core therapeutic areas.</w:t>
      </w:r>
    </w:p>
    <w:p w14:paraId="30A48E23" w14:textId="77777777" w:rsidR="00002651" w:rsidRPr="002C52FF" w:rsidRDefault="00002651" w:rsidP="002C52FF">
      <w:pPr>
        <w:spacing w:after="0"/>
        <w:rPr>
          <w:rFonts w:asciiTheme="majorHAnsi" w:hAnsiTheme="majorHAnsi" w:cstheme="majorHAnsi"/>
        </w:rPr>
      </w:pPr>
      <w:r w:rsidRPr="002C52FF">
        <w:rPr>
          <w:rFonts w:asciiTheme="majorHAnsi" w:hAnsiTheme="majorHAnsi" w:cstheme="majorHAnsi"/>
          <w:b/>
          <w:bCs/>
        </w:rPr>
        <w:t>3. Growth Trends &amp; Stability</w:t>
      </w:r>
      <w:r w:rsidRPr="002C52FF">
        <w:rPr>
          <w:rFonts w:asciiTheme="majorHAnsi" w:hAnsiTheme="majorHAnsi" w:cstheme="majorHAnsi"/>
        </w:rPr>
        <w:br/>
        <w:t>Merck stands out with consistent growth across all years. J&amp;J shows signs of post-spin-off recovery. GSK displays steady upward movement in both revenue and earnings. Pfizer, after a sharp drop post-COVID, is in a transitional phase.</w:t>
      </w:r>
    </w:p>
    <w:p w14:paraId="33EDADF5" w14:textId="77777777" w:rsidR="00002651" w:rsidRPr="002C52FF" w:rsidRDefault="00002651" w:rsidP="002C52FF">
      <w:pPr>
        <w:spacing w:after="0"/>
        <w:rPr>
          <w:rFonts w:asciiTheme="majorHAnsi" w:hAnsiTheme="majorHAnsi" w:cstheme="majorHAnsi"/>
        </w:rPr>
      </w:pPr>
      <w:r w:rsidRPr="002C52FF">
        <w:rPr>
          <w:rFonts w:asciiTheme="majorHAnsi" w:hAnsiTheme="majorHAnsi" w:cstheme="majorHAnsi"/>
          <w:b/>
          <w:bCs/>
        </w:rPr>
        <w:t>4. Stock Valuation &amp; Market Sentiment</w:t>
      </w:r>
      <w:r w:rsidRPr="002C52FF">
        <w:rPr>
          <w:rFonts w:asciiTheme="majorHAnsi" w:hAnsiTheme="majorHAnsi" w:cstheme="majorHAnsi"/>
        </w:rPr>
        <w:br/>
        <w:t>J&amp;J is valued for its stability and dividend profile. Merck enjoys strong sentiment due to its oncology pipeline. GSK is seen as a turnaround story, while Pfizer may present value depending on its future innovation trajectory.</w:t>
      </w:r>
    </w:p>
    <w:p w14:paraId="4037504B" w14:textId="77777777" w:rsidR="00002651" w:rsidRPr="002C52FF" w:rsidRDefault="00002651" w:rsidP="002C52FF">
      <w:pPr>
        <w:spacing w:after="0"/>
        <w:rPr>
          <w:rFonts w:asciiTheme="majorHAnsi" w:hAnsiTheme="majorHAnsi" w:cstheme="majorHAnsi"/>
        </w:rPr>
      </w:pPr>
      <w:r w:rsidRPr="002C52FF">
        <w:rPr>
          <w:rFonts w:asciiTheme="majorHAnsi" w:hAnsiTheme="majorHAnsi" w:cstheme="majorHAnsi"/>
          <w:b/>
          <w:bCs/>
        </w:rPr>
        <w:t>5. Volatility &amp; Risk Factors</w:t>
      </w:r>
      <w:r w:rsidRPr="002C52FF">
        <w:rPr>
          <w:rFonts w:asciiTheme="majorHAnsi" w:hAnsiTheme="majorHAnsi" w:cstheme="majorHAnsi"/>
        </w:rPr>
        <w:br/>
        <w:t>Pfizer faces post-pandemic volatility and patent cliffs. J&amp;J must manage litigation risk. Merck relies heavily on Keytruda. GSK must stay competitive in R&amp;D and manage pricing pressures.</w:t>
      </w:r>
    </w:p>
    <w:p w14:paraId="638693FA" w14:textId="77777777" w:rsidR="0099246F" w:rsidRDefault="00002651" w:rsidP="002C52FF">
      <w:pPr>
        <w:spacing w:after="0"/>
        <w:rPr>
          <w:rFonts w:asciiTheme="majorHAnsi" w:hAnsiTheme="majorHAnsi" w:cstheme="majorHAnsi"/>
        </w:rPr>
      </w:pPr>
      <w:r w:rsidRPr="002C52FF">
        <w:rPr>
          <w:rFonts w:asciiTheme="majorHAnsi" w:hAnsiTheme="majorHAnsi" w:cstheme="majorHAnsi"/>
          <w:b/>
          <w:bCs/>
        </w:rPr>
        <w:t>6. Future Prospects</w:t>
      </w:r>
      <w:r w:rsidRPr="002C52FF">
        <w:rPr>
          <w:rFonts w:asciiTheme="majorHAnsi" w:hAnsiTheme="majorHAnsi" w:cstheme="majorHAnsi"/>
        </w:rPr>
        <w:br/>
        <w:t>Pfizer aims to recover through pipeline expansion and acquisitions. J&amp;J benefits from medical device strength. Merck continues to invest in immunotherapy. GSK focuses on vaccines and respiratory products with a global growth outlook.</w:t>
      </w:r>
    </w:p>
    <w:p w14:paraId="1459DBC6" w14:textId="77777777" w:rsidR="00347C82" w:rsidRDefault="00347C82" w:rsidP="002C52FF">
      <w:pPr>
        <w:spacing w:after="0"/>
        <w:rPr>
          <w:rFonts w:asciiTheme="majorHAnsi" w:hAnsiTheme="majorHAnsi" w:cstheme="majorHAnsi"/>
        </w:rPr>
      </w:pPr>
    </w:p>
    <w:p w14:paraId="76D812C0" w14:textId="6ECEF354" w:rsidR="00002651" w:rsidRPr="002C52FF" w:rsidRDefault="00002651" w:rsidP="002C52FF">
      <w:pPr>
        <w:spacing w:after="0"/>
        <w:rPr>
          <w:rFonts w:asciiTheme="majorHAnsi" w:hAnsiTheme="majorHAnsi" w:cstheme="majorHAnsi"/>
        </w:rPr>
      </w:pPr>
      <w:r w:rsidRPr="002C52FF">
        <w:rPr>
          <w:rFonts w:asciiTheme="majorHAnsi" w:hAnsiTheme="majorHAnsi" w:cstheme="majorHAnsi"/>
          <w:b/>
          <w:bCs/>
        </w:rPr>
        <w:t>J&amp;J and Merck offer strong financial foundations and growth. GSK is smaller but reliable. Pfizer, transitioning from pandemic highs, needs to deliver on new growth drivers to reestablish long-term momentum</w:t>
      </w:r>
      <w:r w:rsidRPr="002C52FF">
        <w:rPr>
          <w:rFonts w:asciiTheme="majorHAnsi" w:hAnsiTheme="majorHAnsi" w:cstheme="majorHAnsi"/>
        </w:rPr>
        <w:t>.</w:t>
      </w:r>
    </w:p>
    <w:p w14:paraId="237A9307" w14:textId="77777777" w:rsidR="00002651" w:rsidRPr="002C52FF" w:rsidRDefault="00002651" w:rsidP="002C52FF">
      <w:pPr>
        <w:spacing w:after="0"/>
        <w:rPr>
          <w:rFonts w:asciiTheme="majorHAnsi" w:hAnsiTheme="majorHAnsi" w:cstheme="majorHAnsi"/>
          <w:lang w:val="en-IN"/>
        </w:rPr>
      </w:pPr>
    </w:p>
    <w:p w14:paraId="55CB80F8" w14:textId="77777777" w:rsidR="00055F39" w:rsidRPr="002C52FF" w:rsidRDefault="00055F39" w:rsidP="002C52FF">
      <w:pPr>
        <w:spacing w:after="0"/>
        <w:rPr>
          <w:rFonts w:asciiTheme="majorHAnsi" w:hAnsiTheme="majorHAnsi" w:cstheme="majorHAnsi"/>
        </w:rPr>
      </w:pPr>
    </w:p>
    <w:sectPr w:rsidR="00055F39" w:rsidRPr="002C52FF"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E8DDA" w14:textId="77777777" w:rsidR="005A03CD" w:rsidRDefault="005A03CD" w:rsidP="009343DB">
      <w:pPr>
        <w:spacing w:after="0" w:line="240" w:lineRule="auto"/>
      </w:pPr>
      <w:r>
        <w:separator/>
      </w:r>
    </w:p>
  </w:endnote>
  <w:endnote w:type="continuationSeparator" w:id="0">
    <w:p w14:paraId="20DBC407" w14:textId="77777777" w:rsidR="005A03CD" w:rsidRDefault="005A03CD" w:rsidP="00934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82F4B" w14:textId="77777777" w:rsidR="005A03CD" w:rsidRDefault="005A03CD" w:rsidP="009343DB">
      <w:pPr>
        <w:spacing w:after="0" w:line="240" w:lineRule="auto"/>
      </w:pPr>
      <w:r>
        <w:separator/>
      </w:r>
    </w:p>
  </w:footnote>
  <w:footnote w:type="continuationSeparator" w:id="0">
    <w:p w14:paraId="31D04F51" w14:textId="77777777" w:rsidR="005A03CD" w:rsidRDefault="005A03CD" w:rsidP="009343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26594349">
    <w:abstractNumId w:val="8"/>
  </w:num>
  <w:num w:numId="2" w16cid:durableId="1844198421">
    <w:abstractNumId w:val="6"/>
  </w:num>
  <w:num w:numId="3" w16cid:durableId="42599673">
    <w:abstractNumId w:val="5"/>
  </w:num>
  <w:num w:numId="4" w16cid:durableId="683436617">
    <w:abstractNumId w:val="4"/>
  </w:num>
  <w:num w:numId="5" w16cid:durableId="557935362">
    <w:abstractNumId w:val="7"/>
  </w:num>
  <w:num w:numId="6" w16cid:durableId="1002974350">
    <w:abstractNumId w:val="3"/>
  </w:num>
  <w:num w:numId="7" w16cid:durableId="2055083709">
    <w:abstractNumId w:val="2"/>
  </w:num>
  <w:num w:numId="8" w16cid:durableId="341863348">
    <w:abstractNumId w:val="1"/>
  </w:num>
  <w:num w:numId="9" w16cid:durableId="1053388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2651"/>
    <w:rsid w:val="00015781"/>
    <w:rsid w:val="00034616"/>
    <w:rsid w:val="000440BA"/>
    <w:rsid w:val="00055F39"/>
    <w:rsid w:val="0006063C"/>
    <w:rsid w:val="00083A81"/>
    <w:rsid w:val="000E42C4"/>
    <w:rsid w:val="000F22CA"/>
    <w:rsid w:val="0015074B"/>
    <w:rsid w:val="001B00F7"/>
    <w:rsid w:val="0029639D"/>
    <w:rsid w:val="002C52FF"/>
    <w:rsid w:val="002E7955"/>
    <w:rsid w:val="00314206"/>
    <w:rsid w:val="00326F90"/>
    <w:rsid w:val="00347C82"/>
    <w:rsid w:val="00406B78"/>
    <w:rsid w:val="00467E3E"/>
    <w:rsid w:val="004835C4"/>
    <w:rsid w:val="004F04E3"/>
    <w:rsid w:val="00536C7B"/>
    <w:rsid w:val="0055239D"/>
    <w:rsid w:val="0056677C"/>
    <w:rsid w:val="00574BF7"/>
    <w:rsid w:val="005A03CD"/>
    <w:rsid w:val="005F05A1"/>
    <w:rsid w:val="0060418A"/>
    <w:rsid w:val="00612AE6"/>
    <w:rsid w:val="00673F04"/>
    <w:rsid w:val="006870C2"/>
    <w:rsid w:val="00721C36"/>
    <w:rsid w:val="00742FF4"/>
    <w:rsid w:val="00762101"/>
    <w:rsid w:val="0077188B"/>
    <w:rsid w:val="007A1B01"/>
    <w:rsid w:val="007B4951"/>
    <w:rsid w:val="007C13C3"/>
    <w:rsid w:val="008064F6"/>
    <w:rsid w:val="00810EE3"/>
    <w:rsid w:val="00836C4D"/>
    <w:rsid w:val="00845308"/>
    <w:rsid w:val="0088614D"/>
    <w:rsid w:val="008E7766"/>
    <w:rsid w:val="008F06AD"/>
    <w:rsid w:val="009178B0"/>
    <w:rsid w:val="009343DB"/>
    <w:rsid w:val="00987929"/>
    <w:rsid w:val="0099246F"/>
    <w:rsid w:val="009B5C4E"/>
    <w:rsid w:val="00A25A30"/>
    <w:rsid w:val="00A26524"/>
    <w:rsid w:val="00A47FE6"/>
    <w:rsid w:val="00A92FAA"/>
    <w:rsid w:val="00AA1D8D"/>
    <w:rsid w:val="00B47730"/>
    <w:rsid w:val="00B916DE"/>
    <w:rsid w:val="00BA518E"/>
    <w:rsid w:val="00BB31A9"/>
    <w:rsid w:val="00BB7BA3"/>
    <w:rsid w:val="00BC5508"/>
    <w:rsid w:val="00BE4E7F"/>
    <w:rsid w:val="00BF7101"/>
    <w:rsid w:val="00C1359F"/>
    <w:rsid w:val="00C54995"/>
    <w:rsid w:val="00C91E31"/>
    <w:rsid w:val="00CB0637"/>
    <w:rsid w:val="00CB0664"/>
    <w:rsid w:val="00D03F43"/>
    <w:rsid w:val="00D31058"/>
    <w:rsid w:val="00D45886"/>
    <w:rsid w:val="00DD1B04"/>
    <w:rsid w:val="00E01221"/>
    <w:rsid w:val="00E91A29"/>
    <w:rsid w:val="00F2711E"/>
    <w:rsid w:val="00F578C3"/>
    <w:rsid w:val="00F75DB6"/>
    <w:rsid w:val="00FB032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B63C6E"/>
  <w14:defaultImageDpi w14:val="300"/>
  <w15:docId w15:val="{800743F2-0A1A-4732-AC65-EBC7C381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735023">
      <w:bodyDiv w:val="1"/>
      <w:marLeft w:val="0"/>
      <w:marRight w:val="0"/>
      <w:marTop w:val="0"/>
      <w:marBottom w:val="0"/>
      <w:divBdr>
        <w:top w:val="none" w:sz="0" w:space="0" w:color="auto"/>
        <w:left w:val="none" w:sz="0" w:space="0" w:color="auto"/>
        <w:bottom w:val="none" w:sz="0" w:space="0" w:color="auto"/>
        <w:right w:val="none" w:sz="0" w:space="0" w:color="auto"/>
      </w:divBdr>
    </w:div>
    <w:div w:id="390688440">
      <w:bodyDiv w:val="1"/>
      <w:marLeft w:val="0"/>
      <w:marRight w:val="0"/>
      <w:marTop w:val="0"/>
      <w:marBottom w:val="0"/>
      <w:divBdr>
        <w:top w:val="none" w:sz="0" w:space="0" w:color="auto"/>
        <w:left w:val="none" w:sz="0" w:space="0" w:color="auto"/>
        <w:bottom w:val="none" w:sz="0" w:space="0" w:color="auto"/>
        <w:right w:val="none" w:sz="0" w:space="0" w:color="auto"/>
      </w:divBdr>
    </w:div>
    <w:div w:id="468475449">
      <w:bodyDiv w:val="1"/>
      <w:marLeft w:val="0"/>
      <w:marRight w:val="0"/>
      <w:marTop w:val="0"/>
      <w:marBottom w:val="0"/>
      <w:divBdr>
        <w:top w:val="none" w:sz="0" w:space="0" w:color="auto"/>
        <w:left w:val="none" w:sz="0" w:space="0" w:color="auto"/>
        <w:bottom w:val="none" w:sz="0" w:space="0" w:color="auto"/>
        <w:right w:val="none" w:sz="0" w:space="0" w:color="auto"/>
      </w:divBdr>
    </w:div>
    <w:div w:id="511650646">
      <w:bodyDiv w:val="1"/>
      <w:marLeft w:val="0"/>
      <w:marRight w:val="0"/>
      <w:marTop w:val="0"/>
      <w:marBottom w:val="0"/>
      <w:divBdr>
        <w:top w:val="none" w:sz="0" w:space="0" w:color="auto"/>
        <w:left w:val="none" w:sz="0" w:space="0" w:color="auto"/>
        <w:bottom w:val="none" w:sz="0" w:space="0" w:color="auto"/>
        <w:right w:val="none" w:sz="0" w:space="0" w:color="auto"/>
      </w:divBdr>
    </w:div>
    <w:div w:id="545916204">
      <w:bodyDiv w:val="1"/>
      <w:marLeft w:val="0"/>
      <w:marRight w:val="0"/>
      <w:marTop w:val="0"/>
      <w:marBottom w:val="0"/>
      <w:divBdr>
        <w:top w:val="none" w:sz="0" w:space="0" w:color="auto"/>
        <w:left w:val="none" w:sz="0" w:space="0" w:color="auto"/>
        <w:bottom w:val="none" w:sz="0" w:space="0" w:color="auto"/>
        <w:right w:val="none" w:sz="0" w:space="0" w:color="auto"/>
      </w:divBdr>
    </w:div>
    <w:div w:id="1119299046">
      <w:bodyDiv w:val="1"/>
      <w:marLeft w:val="0"/>
      <w:marRight w:val="0"/>
      <w:marTop w:val="0"/>
      <w:marBottom w:val="0"/>
      <w:divBdr>
        <w:top w:val="none" w:sz="0" w:space="0" w:color="auto"/>
        <w:left w:val="none" w:sz="0" w:space="0" w:color="auto"/>
        <w:bottom w:val="none" w:sz="0" w:space="0" w:color="auto"/>
        <w:right w:val="none" w:sz="0" w:space="0" w:color="auto"/>
      </w:divBdr>
    </w:div>
    <w:div w:id="1121337976">
      <w:bodyDiv w:val="1"/>
      <w:marLeft w:val="0"/>
      <w:marRight w:val="0"/>
      <w:marTop w:val="0"/>
      <w:marBottom w:val="0"/>
      <w:divBdr>
        <w:top w:val="none" w:sz="0" w:space="0" w:color="auto"/>
        <w:left w:val="none" w:sz="0" w:space="0" w:color="auto"/>
        <w:bottom w:val="none" w:sz="0" w:space="0" w:color="auto"/>
        <w:right w:val="none" w:sz="0" w:space="0" w:color="auto"/>
      </w:divBdr>
    </w:div>
    <w:div w:id="1175993443">
      <w:bodyDiv w:val="1"/>
      <w:marLeft w:val="0"/>
      <w:marRight w:val="0"/>
      <w:marTop w:val="0"/>
      <w:marBottom w:val="0"/>
      <w:divBdr>
        <w:top w:val="none" w:sz="0" w:space="0" w:color="auto"/>
        <w:left w:val="none" w:sz="0" w:space="0" w:color="auto"/>
        <w:bottom w:val="none" w:sz="0" w:space="0" w:color="auto"/>
        <w:right w:val="none" w:sz="0" w:space="0" w:color="auto"/>
      </w:divBdr>
    </w:div>
    <w:div w:id="1803571644">
      <w:bodyDiv w:val="1"/>
      <w:marLeft w:val="0"/>
      <w:marRight w:val="0"/>
      <w:marTop w:val="0"/>
      <w:marBottom w:val="0"/>
      <w:divBdr>
        <w:top w:val="none" w:sz="0" w:space="0" w:color="auto"/>
        <w:left w:val="none" w:sz="0" w:space="0" w:color="auto"/>
        <w:bottom w:val="none" w:sz="0" w:space="0" w:color="auto"/>
        <w:right w:val="none" w:sz="0" w:space="0" w:color="auto"/>
      </w:divBdr>
    </w:div>
    <w:div w:id="2048798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2385</Words>
  <Characters>13601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Anurag Shandil</cp:lastModifiedBy>
  <cp:revision>2</cp:revision>
  <dcterms:created xsi:type="dcterms:W3CDTF">2025-06-22T18:34:00Z</dcterms:created>
  <dcterms:modified xsi:type="dcterms:W3CDTF">2025-06-22T18:34:00Z</dcterms:modified>
  <cp:category/>
</cp:coreProperties>
</file>