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 xml:space="preserve">After deriving the </w:t>
      </w:r>
      <w:r w:rsidRPr="00C1015D">
        <w:rPr>
          <w:highlight w:val="yellow"/>
        </w:rPr>
        <w:t xml:space="preserve">intrinsic share </w:t>
      </w:r>
      <w:commentRangeStart w:id="0"/>
      <w:r w:rsidRPr="00C1015D">
        <w:rPr>
          <w:highlight w:val="yellow"/>
        </w:rPr>
        <w:t>price</w:t>
      </w:r>
      <w:commentRangeEnd w:id="0"/>
      <w:r w:rsidR="00C1015D">
        <w:rPr>
          <w:rStyle w:val="CommentReference"/>
        </w:rPr>
        <w:commentReference w:id="0"/>
      </w:r>
      <w:r w:rsidRPr="00A6150D">
        <w:t xml:space="preserv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w:t>
      </w:r>
      <w:proofErr w:type="gramStart"/>
      <w:r>
        <w:t>discuss about</w:t>
      </w:r>
      <w:proofErr w:type="gramEnd"/>
      <w:r>
        <w:t xml:space="preserve">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62ABB849" w14:textId="77777777" w:rsidR="009A412C" w:rsidRDefault="009A412C" w:rsidP="009A412C">
      <w:pPr>
        <w:pStyle w:val="ListParagraph"/>
      </w:pPr>
    </w:p>
    <w:p w14:paraId="03AE265B" w14:textId="68747A3B" w:rsidR="009A412C" w:rsidRDefault="00F23CBE" w:rsidP="009A412C">
      <w:pPr>
        <w:pStyle w:val="ListParagraph"/>
      </w:pPr>
      <w:r>
        <w:rPr>
          <w:noProof/>
        </w:rPr>
        <w:drawing>
          <wp:inline distT="0" distB="0" distL="0" distR="0" wp14:anchorId="578217BA" wp14:editId="36770A1A">
            <wp:extent cx="4084320" cy="2575560"/>
            <wp:effectExtent l="0" t="0" r="11430" b="15240"/>
            <wp:docPr id="123578778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FBE640" w14:textId="77777777" w:rsidR="00F23CBE" w:rsidRDefault="00F23CBE" w:rsidP="009A412C">
      <w:pPr>
        <w:pStyle w:val="ListParagraph"/>
      </w:pPr>
    </w:p>
    <w:tbl>
      <w:tblPr>
        <w:tblStyle w:val="TableGrid"/>
        <w:tblW w:w="0" w:type="auto"/>
        <w:tblInd w:w="720" w:type="dxa"/>
        <w:tblLook w:val="04A0" w:firstRow="1" w:lastRow="0" w:firstColumn="1" w:lastColumn="0" w:noHBand="0" w:noVBand="1"/>
      </w:tblPr>
      <w:tblGrid>
        <w:gridCol w:w="5025"/>
        <w:gridCol w:w="5045"/>
      </w:tblGrid>
      <w:tr w:rsidR="00F23CBE" w14:paraId="3B90AC3E" w14:textId="77777777" w:rsidTr="00F23CBE">
        <w:tc>
          <w:tcPr>
            <w:tcW w:w="5395" w:type="dxa"/>
          </w:tcPr>
          <w:p w14:paraId="6253757C" w14:textId="00941E2E" w:rsidR="00F23CBE" w:rsidRDefault="00F23CBE" w:rsidP="009A412C">
            <w:pPr>
              <w:pStyle w:val="ListParagraph"/>
              <w:ind w:left="0"/>
            </w:pPr>
            <w:r>
              <w:t>P/E 2024 Actual</w:t>
            </w:r>
          </w:p>
        </w:tc>
        <w:tc>
          <w:tcPr>
            <w:tcW w:w="5395" w:type="dxa"/>
          </w:tcPr>
          <w:p w14:paraId="36CEEE17" w14:textId="15E3060C" w:rsidR="00F23CBE" w:rsidRDefault="00F23CBE" w:rsidP="009A412C">
            <w:pPr>
              <w:pStyle w:val="ListParagraph"/>
              <w:ind w:left="0"/>
            </w:pPr>
            <w:r>
              <w:t>P/E 2025 Expected</w:t>
            </w:r>
          </w:p>
        </w:tc>
      </w:tr>
      <w:tr w:rsidR="00F23CBE" w14:paraId="38964B2B" w14:textId="77777777" w:rsidTr="00F23CBE">
        <w:tc>
          <w:tcPr>
            <w:tcW w:w="5395" w:type="dxa"/>
          </w:tcPr>
          <w:p w14:paraId="382C8FBB" w14:textId="21254423" w:rsidR="00F23CBE" w:rsidRDefault="00F23CBE" w:rsidP="009A412C">
            <w:pPr>
              <w:pStyle w:val="ListParagraph"/>
              <w:ind w:left="0"/>
            </w:pPr>
            <w:r>
              <w:t>42.94</w:t>
            </w:r>
          </w:p>
        </w:tc>
        <w:tc>
          <w:tcPr>
            <w:tcW w:w="5395" w:type="dxa"/>
          </w:tcPr>
          <w:p w14:paraId="2092BE2B" w14:textId="09AE4475" w:rsidR="00F23CBE" w:rsidRDefault="00F23CBE" w:rsidP="009A412C">
            <w:pPr>
              <w:pStyle w:val="ListParagraph"/>
              <w:ind w:left="0"/>
            </w:pPr>
            <w:r>
              <w:t>45.91</w:t>
            </w:r>
          </w:p>
        </w:tc>
      </w:tr>
    </w:tbl>
    <w:p w14:paraId="404B8CCA" w14:textId="77777777" w:rsidR="00F23CBE" w:rsidRDefault="00F23CBE" w:rsidP="009A412C">
      <w:pPr>
        <w:pStyle w:val="ListParagraph"/>
      </w:pPr>
    </w:p>
    <w:p w14:paraId="597D007F" w14:textId="77777777" w:rsidR="00F9155A" w:rsidRDefault="007759A8" w:rsidP="009A412C">
      <w:pPr>
        <w:pStyle w:val="ListParagraph"/>
      </w:pPr>
      <w:r>
        <w:rPr>
          <w:noProof/>
        </w:rPr>
        <w:drawing>
          <wp:inline distT="0" distB="0" distL="0" distR="0" wp14:anchorId="54FE79EB" wp14:editId="3F0231D6">
            <wp:extent cx="3810000" cy="2476500"/>
            <wp:effectExtent l="0" t="0" r="0" b="0"/>
            <wp:docPr id="13387725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0" w:type="auto"/>
        <w:tblInd w:w="720" w:type="dxa"/>
        <w:tblLook w:val="04A0" w:firstRow="1" w:lastRow="0" w:firstColumn="1" w:lastColumn="0" w:noHBand="0" w:noVBand="1"/>
      </w:tblPr>
      <w:tblGrid>
        <w:gridCol w:w="2014"/>
        <w:gridCol w:w="2014"/>
        <w:gridCol w:w="2014"/>
        <w:gridCol w:w="2014"/>
        <w:gridCol w:w="2014"/>
      </w:tblGrid>
      <w:tr w:rsidR="00F9155A" w14:paraId="60E02808" w14:textId="77777777" w:rsidTr="00F9155A">
        <w:tc>
          <w:tcPr>
            <w:tcW w:w="2158" w:type="dxa"/>
          </w:tcPr>
          <w:p w14:paraId="1ECF5231" w14:textId="141EA9C2" w:rsidR="00F9155A" w:rsidRDefault="00F9155A" w:rsidP="009A412C">
            <w:pPr>
              <w:pStyle w:val="ListParagraph"/>
              <w:ind w:left="0"/>
            </w:pPr>
            <w:r>
              <w:t>Gross Margin 2024</w:t>
            </w:r>
          </w:p>
        </w:tc>
        <w:tc>
          <w:tcPr>
            <w:tcW w:w="2158" w:type="dxa"/>
          </w:tcPr>
          <w:p w14:paraId="1290E35E" w14:textId="3338CDE8" w:rsidR="00F9155A" w:rsidRDefault="00F9155A" w:rsidP="009A412C">
            <w:pPr>
              <w:pStyle w:val="ListParagraph"/>
              <w:ind w:left="0"/>
            </w:pPr>
            <w:r>
              <w:t>2023</w:t>
            </w:r>
          </w:p>
        </w:tc>
        <w:tc>
          <w:tcPr>
            <w:tcW w:w="2158" w:type="dxa"/>
          </w:tcPr>
          <w:p w14:paraId="5B6F3E26" w14:textId="59FB231D" w:rsidR="00F9155A" w:rsidRDefault="00F9155A" w:rsidP="009A412C">
            <w:pPr>
              <w:pStyle w:val="ListParagraph"/>
              <w:ind w:left="0"/>
            </w:pPr>
            <w:r>
              <w:t>2022</w:t>
            </w:r>
          </w:p>
        </w:tc>
        <w:tc>
          <w:tcPr>
            <w:tcW w:w="2158" w:type="dxa"/>
          </w:tcPr>
          <w:p w14:paraId="55B03010" w14:textId="04EE67A4" w:rsidR="00F9155A" w:rsidRDefault="00F9155A" w:rsidP="009A412C">
            <w:pPr>
              <w:pStyle w:val="ListParagraph"/>
              <w:ind w:left="0"/>
            </w:pPr>
            <w:r>
              <w:t>2021</w:t>
            </w:r>
          </w:p>
        </w:tc>
        <w:tc>
          <w:tcPr>
            <w:tcW w:w="2158" w:type="dxa"/>
          </w:tcPr>
          <w:p w14:paraId="6330C41B" w14:textId="09C219F9" w:rsidR="00F9155A" w:rsidRDefault="00F9155A" w:rsidP="009A412C">
            <w:pPr>
              <w:pStyle w:val="ListParagraph"/>
              <w:ind w:left="0"/>
            </w:pPr>
            <w:r>
              <w:t>2020</w:t>
            </w:r>
          </w:p>
        </w:tc>
      </w:tr>
      <w:tr w:rsidR="00F9155A" w14:paraId="215A8744" w14:textId="77777777" w:rsidTr="00F9155A">
        <w:tc>
          <w:tcPr>
            <w:tcW w:w="2158" w:type="dxa"/>
          </w:tcPr>
          <w:p w14:paraId="126CAE26" w14:textId="51DFFDE8" w:rsidR="00F9155A" w:rsidRDefault="00F9155A" w:rsidP="009A412C">
            <w:pPr>
              <w:pStyle w:val="ListParagraph"/>
              <w:ind w:left="0"/>
            </w:pPr>
            <w:r>
              <w:t>44.60%</w:t>
            </w:r>
          </w:p>
        </w:tc>
        <w:tc>
          <w:tcPr>
            <w:tcW w:w="2158" w:type="dxa"/>
          </w:tcPr>
          <w:p w14:paraId="6E61A937" w14:textId="590D2E80" w:rsidR="00F9155A" w:rsidRDefault="00F9155A" w:rsidP="009A412C">
            <w:pPr>
              <w:pStyle w:val="ListParagraph"/>
              <w:ind w:left="0"/>
            </w:pPr>
            <w:r>
              <w:t>44.56%</w:t>
            </w:r>
          </w:p>
        </w:tc>
        <w:tc>
          <w:tcPr>
            <w:tcW w:w="2158" w:type="dxa"/>
          </w:tcPr>
          <w:p w14:paraId="33A592C6" w14:textId="40F84033" w:rsidR="00F9155A" w:rsidRDefault="00F9155A" w:rsidP="009A412C">
            <w:pPr>
              <w:pStyle w:val="ListParagraph"/>
              <w:ind w:left="0"/>
            </w:pPr>
            <w:r>
              <w:t>43.52%</w:t>
            </w:r>
          </w:p>
        </w:tc>
        <w:tc>
          <w:tcPr>
            <w:tcW w:w="2158" w:type="dxa"/>
          </w:tcPr>
          <w:p w14:paraId="71FC9011" w14:textId="044F7FEE" w:rsidR="00F9155A" w:rsidRDefault="00F9155A" w:rsidP="009A412C">
            <w:pPr>
              <w:pStyle w:val="ListParagraph"/>
              <w:ind w:left="0"/>
            </w:pPr>
            <w:r>
              <w:t>45.98%</w:t>
            </w:r>
          </w:p>
        </w:tc>
        <w:tc>
          <w:tcPr>
            <w:tcW w:w="2158" w:type="dxa"/>
          </w:tcPr>
          <w:p w14:paraId="012FC9BA" w14:textId="76A71EA4" w:rsidR="00F9155A" w:rsidRDefault="00F9155A" w:rsidP="009A412C">
            <w:pPr>
              <w:pStyle w:val="ListParagraph"/>
              <w:ind w:left="0"/>
            </w:pPr>
            <w:r>
              <w:t>44.82%</w:t>
            </w:r>
          </w:p>
        </w:tc>
      </w:tr>
    </w:tbl>
    <w:p w14:paraId="05B93D60" w14:textId="1373B896" w:rsidR="00F23CBE" w:rsidRDefault="00F23CBE" w:rsidP="009A412C">
      <w:pPr>
        <w:pStyle w:val="ListParagraph"/>
      </w:pPr>
    </w:p>
    <w:p w14:paraId="240F7745" w14:textId="6EF28BAA" w:rsidR="00B2118C" w:rsidRDefault="00F9155A">
      <w:r>
        <w:rPr>
          <w:noProof/>
        </w:rPr>
        <w:lastRenderedPageBreak/>
        <mc:AlternateContent>
          <mc:Choice Requires="wps">
            <w:drawing>
              <wp:anchor distT="45720" distB="45720" distL="114300" distR="114300" simplePos="0" relativeHeight="251668480" behindDoc="0" locked="0" layoutInCell="1" allowOverlap="1" wp14:anchorId="384FE0A7" wp14:editId="5A6EA7AE">
                <wp:simplePos x="0" y="0"/>
                <wp:positionH relativeFrom="page">
                  <wp:align>right</wp:align>
                </wp:positionH>
                <wp:positionV relativeFrom="paragraph">
                  <wp:posOffset>2781300</wp:posOffset>
                </wp:positionV>
                <wp:extent cx="4823460" cy="2659380"/>
                <wp:effectExtent l="0" t="0" r="15240"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3460" cy="2659380"/>
                        </a:xfrm>
                        <a:prstGeom prst="rect">
                          <a:avLst/>
                        </a:prstGeom>
                        <a:solidFill>
                          <a:srgbClr val="FFFFFF"/>
                        </a:solidFill>
                        <a:ln w="9525">
                          <a:solidFill>
                            <a:srgbClr val="000000"/>
                          </a:solidFill>
                          <a:miter lim="800000"/>
                          <a:headEnd/>
                          <a:tailEnd/>
                        </a:ln>
                      </wps:spPr>
                      <wps:txbx>
                        <w:txbxContent>
                          <w:p w14:paraId="4E7916A3" w14:textId="55F2E47C" w:rsidR="00B92FD6" w:rsidRPr="00B92FD6" w:rsidRDefault="00B92FD6" w:rsidP="00B92FD6">
                            <w:r w:rsidRPr="00017B2B">
                              <w:rPr>
                                <w:b/>
                                <w:bCs/>
                              </w:rPr>
                              <w:t xml:space="preserve">Point </w:t>
                            </w:r>
                            <w:r>
                              <w:rPr>
                                <w:b/>
                                <w:bCs/>
                              </w:rPr>
                              <w:t>1</w:t>
                            </w:r>
                            <w:r w:rsidRPr="00017B2B">
                              <w:rPr>
                                <w:b/>
                                <w:bCs/>
                              </w:rPr>
                              <w:t>:</w:t>
                            </w:r>
                            <w:r w:rsidR="00990E4C">
                              <w:rPr>
                                <w:b/>
                                <w:bCs/>
                              </w:rPr>
                              <w:t xml:space="preserve"> </w:t>
                            </w:r>
                            <w:r w:rsidR="00990E4C">
                              <w:t>Total group</w:t>
                            </w:r>
                            <w:r>
                              <w:rPr>
                                <w:b/>
                                <w:bCs/>
                              </w:rPr>
                              <w:t xml:space="preserve"> </w:t>
                            </w:r>
                            <w:r w:rsidR="00990E4C">
                              <w:t>r</w:t>
                            </w:r>
                            <w:r w:rsidR="00570A74">
                              <w:t>evenue is expected to grow by 29% at the end of 2025</w:t>
                            </w:r>
                            <w:r w:rsidR="00BF053D">
                              <w:t>, with Greater China and the EMEA regions expected to grow at the highest rate</w:t>
                            </w:r>
                            <w:r w:rsidR="00990E4C">
                              <w:t>s</w:t>
                            </w:r>
                            <w:r w:rsidR="00BF053D">
                              <w:t xml:space="preserve"> at</w:t>
                            </w:r>
                            <w:r w:rsidR="00990E4C">
                              <w:t xml:space="preserve"> 49% and 65% respectively.</w:t>
                            </w:r>
                            <w:r w:rsidR="00BF053D">
                              <w:t xml:space="preserve"> </w:t>
                            </w:r>
                            <w:r w:rsidR="005A6D27">
                              <w:t xml:space="preserve">Based on average historical growth rates, apparel revenue in EMEA is expected to be a key driver in revenue growth with apparel revenue </w:t>
                            </w:r>
                            <w:r w:rsidR="00E61D7D">
                              <w:t>forecasted to nearly treble in this region.</w:t>
                            </w:r>
                            <w:r w:rsidR="004F2ECB">
                              <w:t xml:space="preserve"> This is partially due to falling product costs, logistic</w:t>
                            </w:r>
                            <w:r w:rsidR="005521FE">
                              <w:t>s</w:t>
                            </w:r>
                            <w:r w:rsidR="004F2ECB">
                              <w:t xml:space="preserve"> costs and lower freight rates. </w:t>
                            </w:r>
                            <w:r w:rsidR="00E42DFF">
                              <w:t xml:space="preserve">This is supported by Nike’s ability to control rising costs, which is reflected in Nike maintaining </w:t>
                            </w:r>
                            <w:r w:rsidR="00D25DC9">
                              <w:t xml:space="preserve">annual </w:t>
                            </w:r>
                            <w:r w:rsidR="00E42DFF">
                              <w:t xml:space="preserve">gross margins </w:t>
                            </w:r>
                            <w:proofErr w:type="gramStart"/>
                            <w:r w:rsidR="00E42DFF">
                              <w:t>in excess of</w:t>
                            </w:r>
                            <w:proofErr w:type="gramEnd"/>
                            <w:r w:rsidR="00E42DFF">
                              <w:t xml:space="preserve"> 40%. Whilst</w:t>
                            </w:r>
                            <w:r w:rsidR="004F2ECB">
                              <w:t xml:space="preserve"> demand creation, marketing and advertising </w:t>
                            </w:r>
                            <w:r w:rsidR="005521FE">
                              <w:t>expenses</w:t>
                            </w:r>
                            <w:r w:rsidR="00E42DFF">
                              <w:t xml:space="preserve"> are</w:t>
                            </w:r>
                            <w:r w:rsidR="005521FE">
                              <w:t xml:space="preserve"> expected to rise in this region, it will arguably contribute towards significant growth in revenue. This is possibly part of Nike’s strategy to further increase its presence in Europe, in which its main rival </w:t>
                            </w:r>
                            <w:r w:rsidR="00E42DFF">
                              <w:t>A</w:t>
                            </w:r>
                            <w:r w:rsidR="005521FE">
                              <w:t>didas has a large presence.</w:t>
                            </w:r>
                            <w:r w:rsidR="00E61D7D">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328.6pt;margin-top:219pt;width:379.8pt;height:209.4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">
                <v:textbox>
                  <w:txbxContent>
                    <w:p w14:paraId="4E7916A3" w14:textId="55F2E47C" w:rsidR="00B92FD6" w:rsidRPr="00B92FD6" w:rsidRDefault="00B92FD6" w:rsidP="00B92FD6">
                      <w:r w:rsidRPr="00017B2B">
                        <w:rPr>
                          <w:b/>
                          <w:bCs/>
                        </w:rPr>
                        <w:t xml:space="preserve">Point </w:t>
                      </w:r>
                      <w:r>
                        <w:rPr>
                          <w:b/>
                          <w:bCs/>
                        </w:rPr>
                        <w:t>1</w:t>
                      </w:r>
                      <w:r w:rsidRPr="00017B2B">
                        <w:rPr>
                          <w:b/>
                          <w:bCs/>
                        </w:rPr>
                        <w:t>:</w:t>
                      </w:r>
                      <w:r w:rsidR="00990E4C">
                        <w:rPr>
                          <w:b/>
                          <w:bCs/>
                        </w:rPr>
                        <w:t xml:space="preserve"> </w:t>
                      </w:r>
                      <w:r w:rsidR="00990E4C">
                        <w:t>Total group</w:t>
                      </w:r>
                      <w:r>
                        <w:rPr>
                          <w:b/>
                          <w:bCs/>
                        </w:rPr>
                        <w:t xml:space="preserve"> </w:t>
                      </w:r>
                      <w:r w:rsidR="00990E4C">
                        <w:t>r</w:t>
                      </w:r>
                      <w:r w:rsidR="00570A74">
                        <w:t>evenue is expected to grow by 29% at the end of 2025</w:t>
                      </w:r>
                      <w:r w:rsidR="00BF053D">
                        <w:t>, with Greater China and the EMEA regions expected to grow at the highest rate</w:t>
                      </w:r>
                      <w:r w:rsidR="00990E4C">
                        <w:t>s</w:t>
                      </w:r>
                      <w:r w:rsidR="00BF053D">
                        <w:t xml:space="preserve"> at</w:t>
                      </w:r>
                      <w:r w:rsidR="00990E4C">
                        <w:t xml:space="preserve"> 49% and 65% respectively.</w:t>
                      </w:r>
                      <w:r w:rsidR="00BF053D">
                        <w:t xml:space="preserve"> </w:t>
                      </w:r>
                      <w:r w:rsidR="005A6D27">
                        <w:t xml:space="preserve">Based on average historical growth rates, apparel revenue in EMEA is expected to be a key driver in revenue growth with apparel revenue </w:t>
                      </w:r>
                      <w:r w:rsidR="00E61D7D">
                        <w:t>forecasted to nearly treble in this region.</w:t>
                      </w:r>
                      <w:r w:rsidR="004F2ECB">
                        <w:t xml:space="preserve"> This is partially due to falling product costs, logistic</w:t>
                      </w:r>
                      <w:r w:rsidR="005521FE">
                        <w:t>s</w:t>
                      </w:r>
                      <w:r w:rsidR="004F2ECB">
                        <w:t xml:space="preserve"> costs and lower freight rates. </w:t>
                      </w:r>
                      <w:r w:rsidR="00E42DFF">
                        <w:t xml:space="preserve">This is supported by Nike’s ability to control rising costs, which is reflected in Nike maintaining </w:t>
                      </w:r>
                      <w:r w:rsidR="00D25DC9">
                        <w:t xml:space="preserve">annual </w:t>
                      </w:r>
                      <w:r w:rsidR="00E42DFF">
                        <w:t xml:space="preserve">gross margins </w:t>
                      </w:r>
                      <w:proofErr w:type="gramStart"/>
                      <w:r w:rsidR="00E42DFF">
                        <w:t>in excess of</w:t>
                      </w:r>
                      <w:proofErr w:type="gramEnd"/>
                      <w:r w:rsidR="00E42DFF">
                        <w:t xml:space="preserve"> 40%. Whilst</w:t>
                      </w:r>
                      <w:r w:rsidR="004F2ECB">
                        <w:t xml:space="preserve"> demand creation, marketing and advertising </w:t>
                      </w:r>
                      <w:r w:rsidR="005521FE">
                        <w:t>expenses</w:t>
                      </w:r>
                      <w:r w:rsidR="00E42DFF">
                        <w:t xml:space="preserve"> are</w:t>
                      </w:r>
                      <w:r w:rsidR="005521FE">
                        <w:t xml:space="preserve"> expected to rise in this region, it will arguably contribute towards significant growth in revenue. This is possibly part of Nike’s strategy to further increase its presence in Europe, in which its main rival </w:t>
                      </w:r>
                      <w:r w:rsidR="00E42DFF">
                        <w:t>A</w:t>
                      </w:r>
                      <w:r w:rsidR="005521FE">
                        <w:t>didas has a large presence.</w:t>
                      </w:r>
                      <w:r w:rsidR="00E61D7D">
                        <w:t xml:space="preserve"> </w:t>
                      </w:r>
                      <w:r>
                        <w:t xml:space="preserve"> </w:t>
                      </w:r>
                    </w:p>
                  </w:txbxContent>
                </v:textbox>
                <w10:wrap type="square" anchorx="page"/>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E579606">
                <wp:simplePos x="0" y="0"/>
                <wp:positionH relativeFrom="page">
                  <wp:posOffset>2952750</wp:posOffset>
                </wp:positionH>
                <wp:positionV relativeFrom="paragraph">
                  <wp:posOffset>5554980</wp:posOffset>
                </wp:positionV>
                <wp:extent cx="4800600" cy="1440180"/>
                <wp:effectExtent l="0" t="0" r="1905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440180"/>
                        </a:xfrm>
                        <a:prstGeom prst="rect">
                          <a:avLst/>
                        </a:prstGeom>
                        <a:solidFill>
                          <a:srgbClr val="FFFFFF"/>
                        </a:solidFill>
                        <a:ln w="9525">
                          <a:solidFill>
                            <a:srgbClr val="000000"/>
                          </a:solidFill>
                          <a:miter lim="800000"/>
                          <a:headEnd/>
                          <a:tailEnd/>
                        </a:ln>
                      </wps:spPr>
                      <wps:txbx>
                        <w:txbxContent>
                          <w:p w14:paraId="182755EA" w14:textId="5092ED88" w:rsidR="00017B2B" w:rsidRPr="00B92FD6" w:rsidRDefault="00017B2B" w:rsidP="00017B2B">
                            <w:r w:rsidRPr="00017B2B">
                              <w:rPr>
                                <w:b/>
                                <w:bCs/>
                              </w:rPr>
                              <w:t>Point 2:</w:t>
                            </w:r>
                            <w:r w:rsidR="00B92FD6">
                              <w:rPr>
                                <w:b/>
                                <w:bCs/>
                              </w:rPr>
                              <w:t xml:space="preserve"> </w:t>
                            </w:r>
                            <w:r w:rsidR="000234D6">
                              <w:t xml:space="preserve">Whilst EBITDA is expected to rise by 25%, the margin of the group EBITDA is projected to fall by 1.2 percentage points. Whilst some may view this as Nike being operationally less efficient, a significant growth in EBITDA with a fall in its margin suggests there is further growth potential. Its margin is also 9.6 percentage points higher than Adidas’ and Nike’s revenue is </w:t>
                            </w:r>
                            <w:r w:rsidR="00BD668B">
                              <w:t>2.5 times circa than that of Adidas, making it a meaningful comparison. Therefore, Nike is outperforming its main competitor.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32.5pt;margin-top:437.4pt;width:378pt;height:113.4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">
                <v:textbox>
                  <w:txbxContent>
                    <w:p w14:paraId="182755EA" w14:textId="5092ED88" w:rsidR="00017B2B" w:rsidRPr="00B92FD6" w:rsidRDefault="00017B2B" w:rsidP="00017B2B">
                      <w:r w:rsidRPr="00017B2B">
                        <w:rPr>
                          <w:b/>
                          <w:bCs/>
                        </w:rPr>
                        <w:t>Point 2:</w:t>
                      </w:r>
                      <w:r w:rsidR="00B92FD6">
                        <w:rPr>
                          <w:b/>
                          <w:bCs/>
                        </w:rPr>
                        <w:t xml:space="preserve"> </w:t>
                      </w:r>
                      <w:r w:rsidR="000234D6">
                        <w:t xml:space="preserve">Whilst EBITDA is expected to rise by 25%, the margin of the group EBITDA is projected to fall by 1.2 percentage points. Whilst some may view this as Nike being operationally less efficient, a significant growth in EBITDA with a fall in its margin suggests there is further growth potential. Its margin is also 9.6 percentage points higher than Adidas’ and Nike’s revenue is </w:t>
                      </w:r>
                      <w:r w:rsidR="00BD668B">
                        <w:t>2.5 times circa than that of Adidas, making it a meaningful comparison. Therefore, Nike is outperforming its main competitor.</w:t>
                      </w:r>
                    </w:p>
                  </w:txbxContent>
                </v:textbox>
                <w10:wrap type="square" anchorx="page"/>
              </v:shape>
            </w:pict>
          </mc:Fallback>
        </mc:AlternateContent>
      </w:r>
      <w:r w:rsidR="007C6675">
        <w:rPr>
          <w:noProof/>
        </w:rPr>
        <mc:AlternateContent>
          <mc:Choice Requires="wps">
            <w:drawing>
              <wp:anchor distT="45720" distB="45720" distL="114300" distR="114300" simplePos="0" relativeHeight="251657216" behindDoc="0" locked="0" layoutInCell="1" allowOverlap="1" wp14:anchorId="62A4B6EE" wp14:editId="2F62FA31">
                <wp:simplePos x="0" y="0"/>
                <wp:positionH relativeFrom="margin">
                  <wp:posOffset>-297180</wp:posOffset>
                </wp:positionH>
                <wp:positionV relativeFrom="paragraph">
                  <wp:posOffset>0</wp:posOffset>
                </wp:positionV>
                <wp:extent cx="7574280" cy="13411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4280" cy="1341120"/>
                        </a:xfrm>
                        <a:prstGeom prst="rect">
                          <a:avLst/>
                        </a:prstGeom>
                        <a:solidFill>
                          <a:srgbClr val="FFFFFF"/>
                        </a:solidFill>
                        <a:ln w="9525">
                          <a:solidFill>
                            <a:srgbClr val="000000"/>
                          </a:solidFill>
                          <a:miter lim="800000"/>
                          <a:headEnd/>
                          <a:tailEnd/>
                        </a:ln>
                      </wps:spPr>
                      <wps:txbx>
                        <w:txbxContent>
                          <w:p w14:paraId="25CEBCDC" w14:textId="7D0EC14C" w:rsidR="00017B2B" w:rsidRDefault="00622C60">
                            <w:r>
                              <w:t>Nike</w:t>
                            </w:r>
                          </w:p>
                          <w:p w14:paraId="4696F081" w14:textId="3610CB27" w:rsidR="00017B2B" w:rsidRDefault="00622C60">
                            <w:r>
                              <w:t>NKE</w:t>
                            </w:r>
                          </w:p>
                          <w:p w14:paraId="312B9D37" w14:textId="56B8AB88" w:rsidR="00D15D4E" w:rsidRDefault="00017B2B">
                            <w:r>
                              <w:t xml:space="preserve">Current </w:t>
                            </w:r>
                            <w:r w:rsidR="00B92FD6">
                              <w:t>Share</w:t>
                            </w:r>
                            <w:r>
                              <w:t xml:space="preserve"> Pric</w:t>
                            </w:r>
                            <w:r w:rsidR="00622C60">
                              <w:t>e $71.20</w:t>
                            </w:r>
                          </w:p>
                          <w:p w14:paraId="51657A7D" w14:textId="492C9BC9" w:rsidR="00B720B0" w:rsidRDefault="00D15D4E">
                            <w:r>
                              <w:t>Forecasted Share Price $1</w:t>
                            </w:r>
                            <w:r w:rsidR="00FF3BED">
                              <w:t>13</w:t>
                            </w:r>
                            <w:r>
                              <w:t>.</w:t>
                            </w:r>
                            <w:r w:rsidR="00FF3BED">
                              <w:t>12</w:t>
                            </w:r>
                            <w:r>
                              <w:t>. 5</w:t>
                            </w:r>
                            <w:r w:rsidR="00FF3BED">
                              <w:t>8</w:t>
                            </w:r>
                            <w:r>
                              <w:t xml:space="preserve">% </w:t>
                            </w:r>
                            <w:r w:rsidR="00B720B0">
                              <w:t>Upside to current share price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8" type="#_x0000_t202" style="position:absolute;margin-left:-23.4pt;margin-top:0;width:596.4pt;height:105.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">
                <v:textbox>
                  <w:txbxContent>
                    <w:p w14:paraId="25CEBCDC" w14:textId="7D0EC14C" w:rsidR="00017B2B" w:rsidRDefault="00622C60">
                      <w:r>
                        <w:t>Nike</w:t>
                      </w:r>
                    </w:p>
                    <w:p w14:paraId="4696F081" w14:textId="3610CB27" w:rsidR="00017B2B" w:rsidRDefault="00622C60">
                      <w:r>
                        <w:t>NKE</w:t>
                      </w:r>
                    </w:p>
                    <w:p w14:paraId="312B9D37" w14:textId="56B8AB88" w:rsidR="00D15D4E" w:rsidRDefault="00017B2B">
                      <w:r>
                        <w:t xml:space="preserve">Current </w:t>
                      </w:r>
                      <w:r w:rsidR="00B92FD6">
                        <w:t>Share</w:t>
                      </w:r>
                      <w:r>
                        <w:t xml:space="preserve"> Pric</w:t>
                      </w:r>
                      <w:r w:rsidR="00622C60">
                        <w:t>e $71.20</w:t>
                      </w:r>
                    </w:p>
                    <w:p w14:paraId="51657A7D" w14:textId="492C9BC9" w:rsidR="00B720B0" w:rsidRDefault="00D15D4E">
                      <w:r>
                        <w:t>Forecasted Share Price $1</w:t>
                      </w:r>
                      <w:r w:rsidR="00FF3BED">
                        <w:t>13</w:t>
                      </w:r>
                      <w:r>
                        <w:t>.</w:t>
                      </w:r>
                      <w:r w:rsidR="00FF3BED">
                        <w:t>12</w:t>
                      </w:r>
                      <w:r>
                        <w:t>. 5</w:t>
                      </w:r>
                      <w:r w:rsidR="00FF3BED">
                        <w:t>8</w:t>
                      </w:r>
                      <w:r>
                        <w:t xml:space="preserve">% </w:t>
                      </w:r>
                      <w:r w:rsidR="00B720B0">
                        <w:t>Upside to current share price</w:t>
                      </w:r>
                      <w:r>
                        <w:t>.</w:t>
                      </w:r>
                    </w:p>
                  </w:txbxContent>
                </v:textbox>
                <w10:wrap type="square" anchorx="margin"/>
              </v:shape>
            </w:pict>
          </mc:Fallback>
        </mc:AlternateContent>
      </w:r>
      <w:r w:rsidR="007C6675">
        <w:rPr>
          <w:noProof/>
        </w:rPr>
        <mc:AlternateContent>
          <mc:Choice Requires="wps">
            <w:drawing>
              <wp:anchor distT="45720" distB="45720" distL="114300" distR="114300" simplePos="0" relativeHeight="251662336" behindDoc="0" locked="0" layoutInCell="1" allowOverlap="1" wp14:anchorId="08B56C2A" wp14:editId="6C04BDB6">
                <wp:simplePos x="0" y="0"/>
                <wp:positionH relativeFrom="page">
                  <wp:align>right</wp:align>
                </wp:positionH>
                <wp:positionV relativeFrom="paragraph">
                  <wp:posOffset>1394460</wp:posOffset>
                </wp:positionV>
                <wp:extent cx="4792980" cy="1272540"/>
                <wp:effectExtent l="0" t="0" r="2667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27254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298995B0" w:rsidR="00017B2B" w:rsidRDefault="009A64BD">
                            <w:r>
                              <w:t xml:space="preserve">I have forecasted a </w:t>
                            </w:r>
                            <w:r w:rsidR="00F23CBE">
                              <w:t>25</w:t>
                            </w:r>
                            <w:r>
                              <w:t xml:space="preserve">% rise in net income </w:t>
                            </w:r>
                            <w:r w:rsidR="00F23CBE">
                              <w:t>by</w:t>
                            </w:r>
                            <w:r>
                              <w:t xml:space="preserve"> the end of 2025 coupled with a forward P/E of 45.91</w:t>
                            </w:r>
                            <w:r w:rsidR="00F23CBE">
                              <w:t xml:space="preserve"> higher than the P/E of 42.94 at the end of 2024</w:t>
                            </w:r>
                            <w:r>
                              <w:t>. This</w:t>
                            </w:r>
                            <w:r w:rsidR="00BD668B">
                              <w:t xml:space="preserve"> along with continued share buyback plans,</w:t>
                            </w:r>
                            <w:r>
                              <w:t xml:space="preserve"> will offset </w:t>
                            </w:r>
                            <w:r w:rsidR="00A12D04">
                              <w:t>the impact of an</w:t>
                            </w:r>
                            <w:r>
                              <w:t xml:space="preserve"> expected lower EPS than </w:t>
                            </w:r>
                            <w:r w:rsidR="009A412C">
                              <w:t>in the previous year</w:t>
                            </w:r>
                            <w:r>
                              <w:t xml:space="preserve">, leading to a target share price of </w:t>
                            </w:r>
                            <w:r w:rsidR="00FF3BED">
                              <w:t>$113.12</w:t>
                            </w:r>
                            <w:r w:rsidR="009A412C">
                              <w:t xml:space="preserve"> at the end of 2025.</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326.2pt;margin-top:109.8pt;width:377.4pt;height:100.2pt;z-index:25166233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">
                <v:textbox>
                  <w:txbxContent>
                    <w:p w14:paraId="74C4E50C" w14:textId="738FE86E" w:rsidR="00017B2B" w:rsidRDefault="00017B2B">
                      <w:pPr>
                        <w:rPr>
                          <w:b/>
                          <w:bCs/>
                        </w:rPr>
                      </w:pPr>
                      <w:r w:rsidRPr="00017B2B">
                        <w:rPr>
                          <w:b/>
                          <w:bCs/>
                        </w:rPr>
                        <w:t>Investment thesis:</w:t>
                      </w:r>
                    </w:p>
                    <w:p w14:paraId="72D4C728" w14:textId="298995B0" w:rsidR="00017B2B" w:rsidRDefault="009A64BD">
                      <w:r>
                        <w:t xml:space="preserve">I have forecasted a </w:t>
                      </w:r>
                      <w:r w:rsidR="00F23CBE">
                        <w:t>25</w:t>
                      </w:r>
                      <w:r>
                        <w:t xml:space="preserve">% rise in net income </w:t>
                      </w:r>
                      <w:r w:rsidR="00F23CBE">
                        <w:t>by</w:t>
                      </w:r>
                      <w:r>
                        <w:t xml:space="preserve"> the end of 2025 coupled with a forward P/E of 45.91</w:t>
                      </w:r>
                      <w:r w:rsidR="00F23CBE">
                        <w:t xml:space="preserve"> higher than the P/E of 42.94 at the end of 2024</w:t>
                      </w:r>
                      <w:r>
                        <w:t>. This</w:t>
                      </w:r>
                      <w:r w:rsidR="00BD668B">
                        <w:t xml:space="preserve"> along with continued share buyback plans,</w:t>
                      </w:r>
                      <w:r>
                        <w:t xml:space="preserve"> will offset </w:t>
                      </w:r>
                      <w:r w:rsidR="00A12D04">
                        <w:t>the impact of an</w:t>
                      </w:r>
                      <w:r>
                        <w:t xml:space="preserve"> expected lower EPS than </w:t>
                      </w:r>
                      <w:r w:rsidR="009A412C">
                        <w:t>in the previous year</w:t>
                      </w:r>
                      <w:r>
                        <w:t xml:space="preserve">, leading to a target share price of </w:t>
                      </w:r>
                      <w:r w:rsidR="00FF3BED">
                        <w:t>$113.12</w:t>
                      </w:r>
                      <w:r w:rsidR="009A412C">
                        <w:t xml:space="preserve"> at the end of 2025.</w:t>
                      </w:r>
                    </w:p>
                    <w:p w14:paraId="6DF181F3" w14:textId="77777777" w:rsidR="00B92FD6" w:rsidRPr="00017B2B" w:rsidRDefault="00B92FD6"/>
                  </w:txbxContent>
                </v:textbox>
                <w10:wrap type="square" anchorx="page"/>
              </v:shape>
            </w:pict>
          </mc:Fallback>
        </mc:AlternateContent>
      </w:r>
      <w:r w:rsidR="007C6675">
        <w:rPr>
          <w:noProof/>
        </w:rPr>
        <mc:AlternateContent>
          <mc:Choice Requires="wps">
            <w:drawing>
              <wp:anchor distT="45720" distB="45720" distL="114300" distR="114300" simplePos="0" relativeHeight="251666432" behindDoc="0" locked="0" layoutInCell="1" allowOverlap="1" wp14:anchorId="773CC498" wp14:editId="350AAA32">
                <wp:simplePos x="0" y="0"/>
                <wp:positionH relativeFrom="page">
                  <wp:align>right</wp:align>
                </wp:positionH>
                <wp:positionV relativeFrom="paragraph">
                  <wp:posOffset>7159625</wp:posOffset>
                </wp:positionV>
                <wp:extent cx="4792980" cy="1958340"/>
                <wp:effectExtent l="0" t="0" r="2667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958340"/>
                        </a:xfrm>
                        <a:prstGeom prst="rect">
                          <a:avLst/>
                        </a:prstGeom>
                        <a:solidFill>
                          <a:srgbClr val="FFFFFF"/>
                        </a:solidFill>
                        <a:ln w="9525">
                          <a:solidFill>
                            <a:srgbClr val="000000"/>
                          </a:solidFill>
                          <a:miter lim="800000"/>
                          <a:headEnd/>
                          <a:tailEnd/>
                        </a:ln>
                      </wps:spPr>
                      <wps:txbx>
                        <w:txbxContent>
                          <w:p w14:paraId="1B23DB5F" w14:textId="679EC25A" w:rsidR="00017B2B" w:rsidRPr="00B92FD6" w:rsidRDefault="00017B2B" w:rsidP="00017B2B">
                            <w:r w:rsidRPr="00017B2B">
                              <w:rPr>
                                <w:b/>
                                <w:bCs/>
                              </w:rPr>
                              <w:t>Point 3</w:t>
                            </w:r>
                            <w:r>
                              <w:rPr>
                                <w:b/>
                                <w:bCs/>
                              </w:rPr>
                              <w:t>:</w:t>
                            </w:r>
                            <w:r w:rsidR="00B92FD6">
                              <w:rPr>
                                <w:b/>
                                <w:bCs/>
                              </w:rPr>
                              <w:t xml:space="preserve"> </w:t>
                            </w:r>
                            <w:r w:rsidR="00B92FD6">
                              <w:t>EPS</w:t>
                            </w:r>
                            <w:r w:rsidR="00A12D04">
                              <w:t xml:space="preserve"> is expected to fall partially due to an expected 20% increase in DPS, which may potentially hamper growth of the share price. However, a growth in DPS and continued share buybacks will create </w:t>
                            </w:r>
                            <w:r w:rsidR="0096140D">
                              <w:t>more</w:t>
                            </w:r>
                            <w:r w:rsidR="00A12D04">
                              <w:t xml:space="preserve"> demand for Nike’s shares</w:t>
                            </w:r>
                            <w:r w:rsidR="0096140D">
                              <w:t>,</w:t>
                            </w:r>
                            <w:r w:rsidR="00A12D04">
                              <w:t xml:space="preserve"> lead</w:t>
                            </w:r>
                            <w:r w:rsidR="0096140D">
                              <w:t>ing</w:t>
                            </w:r>
                            <w:r w:rsidR="00A12D04">
                              <w:t xml:space="preserve"> to significant </w:t>
                            </w:r>
                            <w:r w:rsidR="0096140D">
                              <w:t>rise</w:t>
                            </w:r>
                            <w:r w:rsidR="00A12D04">
                              <w:t xml:space="preserve"> in the share price.</w:t>
                            </w:r>
                            <w:r w:rsidR="00B92FD6">
                              <w:t xml:space="preserve"> </w:t>
                            </w:r>
                            <w:r w:rsidR="00A12D04">
                              <w:t>This is supported by a</w:t>
                            </w:r>
                            <w:r w:rsidR="0096140D">
                              <w:t>n</w:t>
                            </w:r>
                            <w:r w:rsidR="00A12D04">
                              <w:t xml:space="preserve"> </w:t>
                            </w:r>
                            <w:r w:rsidR="0096140D">
                              <w:t>anticipated</w:t>
                            </w:r>
                            <w:r w:rsidR="00A12D04">
                              <w:t xml:space="preserve"> </w:t>
                            </w:r>
                            <w:r w:rsidR="0096140D">
                              <w:t xml:space="preserve">increase in Nike’s </w:t>
                            </w:r>
                            <w:r w:rsidR="00B92FD6">
                              <w:t>FCFF</w:t>
                            </w:r>
                            <w:r w:rsidR="0096140D">
                              <w:t xml:space="preserve"> of 70%</w:t>
                            </w:r>
                            <w:r w:rsidR="001261CD">
                              <w:t>,</w:t>
                            </w:r>
                            <w:r w:rsidR="0096140D">
                              <w:t xml:space="preserve"> 35 percentage points</w:t>
                            </w:r>
                            <w:r w:rsidR="001261CD">
                              <w:t xml:space="preserve"> greater than the growth</w:t>
                            </w:r>
                            <w:r w:rsidR="0096140D">
                              <w:t xml:space="preserve"> in 2024.</w:t>
                            </w:r>
                            <w:r w:rsidR="00B92FD6">
                              <w:t xml:space="preserve"> </w:t>
                            </w:r>
                            <w:r w:rsidR="0096140D">
                              <w:t xml:space="preserve">This in turn will enable Nike to increase its CAPEX, which is forecasted to rise </w:t>
                            </w:r>
                            <w:r w:rsidR="007C6675">
                              <w:t>over 4 times</w:t>
                            </w:r>
                            <w:r w:rsidR="00B92FD6">
                              <w:t>.</w:t>
                            </w:r>
                            <w:r w:rsidR="007C6675">
                              <w:t xml:space="preserve"> This is justified by a stronger dollar to which Nike is largely exposed and continuation of this will significantly reduce Nike’s costs of further expanding its brand globally.</w:t>
                            </w:r>
                            <w:r w:rsidR="00F9155A">
                              <w:t xml:space="preserve"> A key part of Nike’s strategy is investing in its links to global sports and adding global athletes to its roster.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0" type="#_x0000_t202" style="position:absolute;margin-left:326.2pt;margin-top:563.75pt;width:377.4pt;height:154.2pt;z-index:25166643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">
                <v:textbox>
                  <w:txbxContent>
                    <w:p w14:paraId="1B23DB5F" w14:textId="679EC25A" w:rsidR="00017B2B" w:rsidRPr="00B92FD6" w:rsidRDefault="00017B2B" w:rsidP="00017B2B">
                      <w:r w:rsidRPr="00017B2B">
                        <w:rPr>
                          <w:b/>
                          <w:bCs/>
                        </w:rPr>
                        <w:t>Point 3</w:t>
                      </w:r>
                      <w:r>
                        <w:rPr>
                          <w:b/>
                          <w:bCs/>
                        </w:rPr>
                        <w:t>:</w:t>
                      </w:r>
                      <w:r w:rsidR="00B92FD6">
                        <w:rPr>
                          <w:b/>
                          <w:bCs/>
                        </w:rPr>
                        <w:t xml:space="preserve"> </w:t>
                      </w:r>
                      <w:r w:rsidR="00B92FD6">
                        <w:t>EPS</w:t>
                      </w:r>
                      <w:r w:rsidR="00A12D04">
                        <w:t xml:space="preserve"> is expected to fall partially due to an expected 20% increase in DPS, which may potentially hamper growth of the share price. However, a growth in DPS and continued share buybacks will create </w:t>
                      </w:r>
                      <w:r w:rsidR="0096140D">
                        <w:t>more</w:t>
                      </w:r>
                      <w:r w:rsidR="00A12D04">
                        <w:t xml:space="preserve"> demand for Nike’s shares</w:t>
                      </w:r>
                      <w:r w:rsidR="0096140D">
                        <w:t>,</w:t>
                      </w:r>
                      <w:r w:rsidR="00A12D04">
                        <w:t xml:space="preserve"> lead</w:t>
                      </w:r>
                      <w:r w:rsidR="0096140D">
                        <w:t>ing</w:t>
                      </w:r>
                      <w:r w:rsidR="00A12D04">
                        <w:t xml:space="preserve"> to significant </w:t>
                      </w:r>
                      <w:r w:rsidR="0096140D">
                        <w:t>rise</w:t>
                      </w:r>
                      <w:r w:rsidR="00A12D04">
                        <w:t xml:space="preserve"> in the share price.</w:t>
                      </w:r>
                      <w:r w:rsidR="00B92FD6">
                        <w:t xml:space="preserve"> </w:t>
                      </w:r>
                      <w:r w:rsidR="00A12D04">
                        <w:t>This is supported by a</w:t>
                      </w:r>
                      <w:r w:rsidR="0096140D">
                        <w:t>n</w:t>
                      </w:r>
                      <w:r w:rsidR="00A12D04">
                        <w:t xml:space="preserve"> </w:t>
                      </w:r>
                      <w:r w:rsidR="0096140D">
                        <w:t>anticipated</w:t>
                      </w:r>
                      <w:r w:rsidR="00A12D04">
                        <w:t xml:space="preserve"> </w:t>
                      </w:r>
                      <w:r w:rsidR="0096140D">
                        <w:t xml:space="preserve">increase in Nike’s </w:t>
                      </w:r>
                      <w:r w:rsidR="00B92FD6">
                        <w:t>FCFF</w:t>
                      </w:r>
                      <w:r w:rsidR="0096140D">
                        <w:t xml:space="preserve"> of 70%</w:t>
                      </w:r>
                      <w:r w:rsidR="001261CD">
                        <w:t>,</w:t>
                      </w:r>
                      <w:r w:rsidR="0096140D">
                        <w:t xml:space="preserve"> 35 percentage points</w:t>
                      </w:r>
                      <w:r w:rsidR="001261CD">
                        <w:t xml:space="preserve"> greater than the growth</w:t>
                      </w:r>
                      <w:r w:rsidR="0096140D">
                        <w:t xml:space="preserve"> in 2024.</w:t>
                      </w:r>
                      <w:r w:rsidR="00B92FD6">
                        <w:t xml:space="preserve"> </w:t>
                      </w:r>
                      <w:r w:rsidR="0096140D">
                        <w:t xml:space="preserve">This in turn will enable Nike to increase its CAPEX, which is forecasted to rise </w:t>
                      </w:r>
                      <w:r w:rsidR="007C6675">
                        <w:t>over 4 times</w:t>
                      </w:r>
                      <w:r w:rsidR="00B92FD6">
                        <w:t>.</w:t>
                      </w:r>
                      <w:r w:rsidR="007C6675">
                        <w:t xml:space="preserve"> This is justified by a stronger dollar to which Nike is largely exposed and continuation of this will significantly reduce Nike’s costs of further expanding its brand globally.</w:t>
                      </w:r>
                      <w:r w:rsidR="00F9155A">
                        <w:t xml:space="preserve"> A key part of Nike’s strategy is investing in its links to global sports and adding global athletes to its roster.</w:t>
                      </w:r>
                    </w:p>
                  </w:txbxContent>
                </v:textbox>
                <w10:wrap type="square" anchorx="page"/>
              </v:shape>
            </w:pict>
          </mc:Fallback>
        </mc:AlternateContent>
      </w:r>
      <w:r w:rsidR="007C6675">
        <w:rPr>
          <w:noProof/>
        </w:rPr>
        <mc:AlternateContent>
          <mc:Choice Requires="wps">
            <w:drawing>
              <wp:anchor distT="0" distB="0" distL="114300" distR="114300" simplePos="0" relativeHeight="251660288" behindDoc="0" locked="0" layoutInCell="1" allowOverlap="1" wp14:anchorId="12B3F26B" wp14:editId="2CDAE7EB">
                <wp:simplePos x="0" y="0"/>
                <wp:positionH relativeFrom="margin">
                  <wp:posOffset>-320040</wp:posOffset>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15FDF5DF" w:rsidR="00017B2B" w:rsidRPr="00B92FD6" w:rsidRDefault="00017B2B">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1" style="position:absolute;margin-left:-25.2pt;margin-top:111.6pt;width:220.8pt;height:60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" fillcolor="white [3212]" strokecolor="#747070 [1614]" strokeweight="1.25pt">
                <v:textbox inset="14.4pt,36pt,14.4pt,5.76pt">
                  <w:txbxContent>
                    <w:p w14:paraId="7AA25971" w14:textId="15FDF5DF" w:rsidR="00017B2B" w:rsidRPr="00B92FD6" w:rsidRDefault="00017B2B">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ENJAMIN BAZINI" w:date="2025-01-14T10:20:00Z" w:initials="BB">
    <w:p w14:paraId="21766317" w14:textId="77777777" w:rsidR="00C1015D" w:rsidRDefault="00C1015D" w:rsidP="00C1015D">
      <w:pPr>
        <w:pStyle w:val="CommentText"/>
      </w:pPr>
      <w:r>
        <w:rPr>
          <w:rStyle w:val="CommentReference"/>
        </w:rPr>
        <w:annotationRef/>
      </w:r>
      <w:r>
        <w:t>Is this for a specific period or periods?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766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54C69" w16cex:dateUtc="2025-01-14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766317" w16cid:durableId="23D54C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3216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JAMIN BAZINI">
    <w15:presenceInfo w15:providerId="AD" w15:userId="S::2025588@buckingham.ac.uk::714eb7d7-6572-451f-9102-aa08de046e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234D6"/>
    <w:rsid w:val="001261CD"/>
    <w:rsid w:val="002779DB"/>
    <w:rsid w:val="004F2ECB"/>
    <w:rsid w:val="00517B8C"/>
    <w:rsid w:val="005521FE"/>
    <w:rsid w:val="00570A74"/>
    <w:rsid w:val="005A6D27"/>
    <w:rsid w:val="005D741E"/>
    <w:rsid w:val="00622C60"/>
    <w:rsid w:val="0063639B"/>
    <w:rsid w:val="007759A8"/>
    <w:rsid w:val="007C6675"/>
    <w:rsid w:val="00842934"/>
    <w:rsid w:val="0096140D"/>
    <w:rsid w:val="00990E4C"/>
    <w:rsid w:val="009A412C"/>
    <w:rsid w:val="009A64BD"/>
    <w:rsid w:val="00A12D04"/>
    <w:rsid w:val="00A17BDD"/>
    <w:rsid w:val="00A31AEA"/>
    <w:rsid w:val="00A5039C"/>
    <w:rsid w:val="00A6150D"/>
    <w:rsid w:val="00B2118C"/>
    <w:rsid w:val="00B720B0"/>
    <w:rsid w:val="00B92FD6"/>
    <w:rsid w:val="00BC3AE7"/>
    <w:rsid w:val="00BD668B"/>
    <w:rsid w:val="00BF053D"/>
    <w:rsid w:val="00C1015D"/>
    <w:rsid w:val="00D15D4E"/>
    <w:rsid w:val="00D25DC9"/>
    <w:rsid w:val="00E42DFF"/>
    <w:rsid w:val="00E60C1F"/>
    <w:rsid w:val="00E61D7D"/>
    <w:rsid w:val="00F23CBE"/>
    <w:rsid w:val="00F27DC9"/>
    <w:rsid w:val="00F4210A"/>
    <w:rsid w:val="00F9155A"/>
    <w:rsid w:val="00FF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1015D"/>
    <w:rPr>
      <w:sz w:val="16"/>
      <w:szCs w:val="16"/>
    </w:rPr>
  </w:style>
  <w:style w:type="paragraph" w:styleId="CommentText">
    <w:name w:val="annotation text"/>
    <w:basedOn w:val="Normal"/>
    <w:link w:val="CommentTextChar"/>
    <w:uiPriority w:val="99"/>
    <w:unhideWhenUsed/>
    <w:rsid w:val="00C1015D"/>
    <w:pPr>
      <w:spacing w:line="240" w:lineRule="auto"/>
    </w:pPr>
    <w:rPr>
      <w:sz w:val="20"/>
      <w:szCs w:val="20"/>
    </w:rPr>
  </w:style>
  <w:style w:type="character" w:customStyle="1" w:styleId="CommentTextChar">
    <w:name w:val="Comment Text Char"/>
    <w:basedOn w:val="DefaultParagraphFont"/>
    <w:link w:val="CommentText"/>
    <w:uiPriority w:val="99"/>
    <w:rsid w:val="00C1015D"/>
    <w:rPr>
      <w:sz w:val="20"/>
      <w:szCs w:val="20"/>
    </w:rPr>
  </w:style>
  <w:style w:type="paragraph" w:styleId="CommentSubject">
    <w:name w:val="annotation subject"/>
    <w:basedOn w:val="CommentText"/>
    <w:next w:val="CommentText"/>
    <w:link w:val="CommentSubjectChar"/>
    <w:uiPriority w:val="99"/>
    <w:semiHidden/>
    <w:unhideWhenUsed/>
    <w:rsid w:val="00C1015D"/>
    <w:rPr>
      <w:b/>
      <w:bCs/>
    </w:rPr>
  </w:style>
  <w:style w:type="character" w:customStyle="1" w:styleId="CommentSubjectChar">
    <w:name w:val="Comment Subject Char"/>
    <w:basedOn w:val="CommentTextChar"/>
    <w:link w:val="CommentSubject"/>
    <w:uiPriority w:val="99"/>
    <w:semiHidden/>
    <w:rsid w:val="00C1015D"/>
    <w:rPr>
      <w:b/>
      <w:bCs/>
      <w:sz w:val="20"/>
      <w:szCs w:val="20"/>
    </w:rPr>
  </w:style>
  <w:style w:type="table" w:styleId="TableGrid">
    <w:name w:val="Table Grid"/>
    <w:basedOn w:val="TableNormal"/>
    <w:uiPriority w:val="39"/>
    <w:rsid w:val="00277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aseline="0"/>
              <a:t>Point 1 Chart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lineChart>
        <c:grouping val="standard"/>
        <c:varyColors val="0"/>
        <c:ser>
          <c:idx val="0"/>
          <c:order val="0"/>
          <c:tx>
            <c:strRef>
              <c:f>Sheet1!$B$1</c:f>
              <c:strCache>
                <c:ptCount val="1"/>
                <c:pt idx="0">
                  <c:v>Net Income Change %</c:v>
                </c:pt>
              </c:strCache>
            </c:strRef>
          </c:tx>
          <c:spPr>
            <a:ln w="28575" cap="rnd">
              <a:solidFill>
                <a:schemeClr val="accent1"/>
              </a:solidFill>
              <a:round/>
            </a:ln>
            <a:effectLst/>
          </c:spPr>
          <c:marker>
            <c:symbol val="none"/>
          </c:marker>
          <c:cat>
            <c:strRef>
              <c:f>Sheet1!$A$2:$A$3</c:f>
              <c:strCache>
                <c:ptCount val="2"/>
                <c:pt idx="0">
                  <c:v>2024 A</c:v>
                </c:pt>
                <c:pt idx="1">
                  <c:v>2025 E</c:v>
                </c:pt>
              </c:strCache>
            </c:strRef>
          </c:cat>
          <c:val>
            <c:numRef>
              <c:f>Sheet1!$B$2:$B$3</c:f>
              <c:numCache>
                <c:formatCode>General</c:formatCode>
                <c:ptCount val="2"/>
                <c:pt idx="0">
                  <c:v>14</c:v>
                </c:pt>
                <c:pt idx="1">
                  <c:v>25</c:v>
                </c:pt>
              </c:numCache>
            </c:numRef>
          </c:val>
          <c:smooth val="0"/>
          <c:extLst>
            <c:ext xmlns:c16="http://schemas.microsoft.com/office/drawing/2014/chart" uri="{C3380CC4-5D6E-409C-BE32-E72D297353CC}">
              <c16:uniqueId val="{00000000-46E5-4CFB-9E6C-9B9301671404}"/>
            </c:ext>
          </c:extLst>
        </c:ser>
        <c:ser>
          <c:idx val="1"/>
          <c:order val="1"/>
          <c:tx>
            <c:strRef>
              <c:f>Sheet1!$C$1</c:f>
              <c:strCache>
                <c:ptCount val="1"/>
                <c:pt idx="0">
                  <c:v>EPS change %</c:v>
                </c:pt>
              </c:strCache>
            </c:strRef>
          </c:tx>
          <c:spPr>
            <a:ln w="28575" cap="rnd">
              <a:solidFill>
                <a:schemeClr val="accent2"/>
              </a:solidFill>
              <a:round/>
            </a:ln>
            <a:effectLst/>
          </c:spPr>
          <c:marker>
            <c:symbol val="none"/>
          </c:marker>
          <c:cat>
            <c:strRef>
              <c:f>Sheet1!$A$2:$A$3</c:f>
              <c:strCache>
                <c:ptCount val="2"/>
                <c:pt idx="0">
                  <c:v>2024 A</c:v>
                </c:pt>
                <c:pt idx="1">
                  <c:v>2025 E</c:v>
                </c:pt>
              </c:strCache>
            </c:strRef>
          </c:cat>
          <c:val>
            <c:numRef>
              <c:f>Sheet1!$C$2:$C$3</c:f>
              <c:numCache>
                <c:formatCode>General</c:formatCode>
                <c:ptCount val="2"/>
                <c:pt idx="0">
                  <c:v>8</c:v>
                </c:pt>
                <c:pt idx="1">
                  <c:v>-29</c:v>
                </c:pt>
              </c:numCache>
            </c:numRef>
          </c:val>
          <c:smooth val="0"/>
          <c:extLst>
            <c:ext xmlns:c16="http://schemas.microsoft.com/office/drawing/2014/chart" uri="{C3380CC4-5D6E-409C-BE32-E72D297353CC}">
              <c16:uniqueId val="{00000001-46E5-4CFB-9E6C-9B9301671404}"/>
            </c:ext>
          </c:extLst>
        </c:ser>
        <c:ser>
          <c:idx val="2"/>
          <c:order val="2"/>
          <c:tx>
            <c:strRef>
              <c:f>Sheet1!$D$1</c:f>
              <c:strCache>
                <c:ptCount val="1"/>
                <c:pt idx="0">
                  <c:v>DPS  Change %</c:v>
                </c:pt>
              </c:strCache>
            </c:strRef>
          </c:tx>
          <c:spPr>
            <a:ln w="28575" cap="rnd">
              <a:solidFill>
                <a:schemeClr val="accent3"/>
              </a:solidFill>
              <a:round/>
            </a:ln>
            <a:effectLst/>
          </c:spPr>
          <c:marker>
            <c:symbol val="none"/>
          </c:marker>
          <c:cat>
            <c:strRef>
              <c:f>Sheet1!$A$2:$A$3</c:f>
              <c:strCache>
                <c:ptCount val="2"/>
                <c:pt idx="0">
                  <c:v>2024 A</c:v>
                </c:pt>
                <c:pt idx="1">
                  <c:v>2025 E</c:v>
                </c:pt>
              </c:strCache>
            </c:strRef>
          </c:cat>
          <c:val>
            <c:numRef>
              <c:f>Sheet1!$D$2:$D$3</c:f>
              <c:numCache>
                <c:formatCode>General</c:formatCode>
                <c:ptCount val="2"/>
                <c:pt idx="0">
                  <c:v>2</c:v>
                </c:pt>
                <c:pt idx="1">
                  <c:v>20</c:v>
                </c:pt>
              </c:numCache>
            </c:numRef>
          </c:val>
          <c:smooth val="0"/>
          <c:extLst>
            <c:ext xmlns:c16="http://schemas.microsoft.com/office/drawing/2014/chart" uri="{C3380CC4-5D6E-409C-BE32-E72D297353CC}">
              <c16:uniqueId val="{00000002-46E5-4CFB-9E6C-9B9301671404}"/>
            </c:ext>
          </c:extLst>
        </c:ser>
        <c:dLbls>
          <c:showLegendKey val="0"/>
          <c:showVal val="0"/>
          <c:showCatName val="0"/>
          <c:showSerName val="0"/>
          <c:showPercent val="0"/>
          <c:showBubbleSize val="0"/>
        </c:dLbls>
        <c:smooth val="0"/>
        <c:axId val="711917872"/>
        <c:axId val="718098000"/>
      </c:lineChart>
      <c:catAx>
        <c:axId val="711917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098000"/>
        <c:crosses val="autoZero"/>
        <c:auto val="1"/>
        <c:lblAlgn val="ctr"/>
        <c:lblOffset val="100"/>
        <c:noMultiLvlLbl val="0"/>
      </c:catAx>
      <c:valAx>
        <c:axId val="71809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917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2025</a:t>
            </a:r>
            <a:r>
              <a:rPr lang="en-GB" baseline="0"/>
              <a:t> Forecast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Overall</c:v>
                </c:pt>
              </c:strCache>
            </c:strRef>
          </c:tx>
          <c:spPr>
            <a:solidFill>
              <a:schemeClr val="accent1"/>
            </a:solidFill>
            <a:ln>
              <a:noFill/>
            </a:ln>
            <a:effectLst/>
          </c:spPr>
          <c:invertIfNegative val="0"/>
          <c:cat>
            <c:strRef>
              <c:f>Sheet1!$A$2</c:f>
              <c:strCache>
                <c:ptCount val="1"/>
                <c:pt idx="0">
                  <c:v>Expected Revenue Growth %</c:v>
                </c:pt>
              </c:strCache>
            </c:strRef>
          </c:cat>
          <c:val>
            <c:numRef>
              <c:f>Sheet1!$B$2</c:f>
              <c:numCache>
                <c:formatCode>General</c:formatCode>
                <c:ptCount val="1"/>
                <c:pt idx="0">
                  <c:v>29</c:v>
                </c:pt>
              </c:numCache>
            </c:numRef>
          </c:val>
          <c:extLst>
            <c:ext xmlns:c16="http://schemas.microsoft.com/office/drawing/2014/chart" uri="{C3380CC4-5D6E-409C-BE32-E72D297353CC}">
              <c16:uniqueId val="{00000000-B237-4F5A-9935-EDB7F548BC84}"/>
            </c:ext>
          </c:extLst>
        </c:ser>
        <c:ser>
          <c:idx val="1"/>
          <c:order val="1"/>
          <c:tx>
            <c:strRef>
              <c:f>Sheet1!$C$1</c:f>
              <c:strCache>
                <c:ptCount val="1"/>
                <c:pt idx="0">
                  <c:v>EMEA</c:v>
                </c:pt>
              </c:strCache>
            </c:strRef>
          </c:tx>
          <c:spPr>
            <a:solidFill>
              <a:schemeClr val="accent2"/>
            </a:solidFill>
            <a:ln>
              <a:noFill/>
            </a:ln>
            <a:effectLst/>
          </c:spPr>
          <c:invertIfNegative val="0"/>
          <c:cat>
            <c:strRef>
              <c:f>Sheet1!$A$2</c:f>
              <c:strCache>
                <c:ptCount val="1"/>
                <c:pt idx="0">
                  <c:v>Expected Revenue Growth %</c:v>
                </c:pt>
              </c:strCache>
            </c:strRef>
          </c:cat>
          <c:val>
            <c:numRef>
              <c:f>Sheet1!$C$2</c:f>
              <c:numCache>
                <c:formatCode>General</c:formatCode>
                <c:ptCount val="1"/>
                <c:pt idx="0">
                  <c:v>65</c:v>
                </c:pt>
              </c:numCache>
            </c:numRef>
          </c:val>
          <c:extLst>
            <c:ext xmlns:c16="http://schemas.microsoft.com/office/drawing/2014/chart" uri="{C3380CC4-5D6E-409C-BE32-E72D297353CC}">
              <c16:uniqueId val="{00000001-B237-4F5A-9935-EDB7F548BC84}"/>
            </c:ext>
          </c:extLst>
        </c:ser>
        <c:ser>
          <c:idx val="2"/>
          <c:order val="2"/>
          <c:tx>
            <c:strRef>
              <c:f>Sheet1!$D$1</c:f>
              <c:strCache>
                <c:ptCount val="1"/>
                <c:pt idx="0">
                  <c:v>Greater China</c:v>
                </c:pt>
              </c:strCache>
            </c:strRef>
          </c:tx>
          <c:spPr>
            <a:solidFill>
              <a:schemeClr val="accent3"/>
            </a:solidFill>
            <a:ln>
              <a:noFill/>
            </a:ln>
            <a:effectLst/>
          </c:spPr>
          <c:invertIfNegative val="0"/>
          <c:cat>
            <c:strRef>
              <c:f>Sheet1!$A$2</c:f>
              <c:strCache>
                <c:ptCount val="1"/>
                <c:pt idx="0">
                  <c:v>Expected Revenue Growth %</c:v>
                </c:pt>
              </c:strCache>
            </c:strRef>
          </c:cat>
          <c:val>
            <c:numRef>
              <c:f>Sheet1!$D$2</c:f>
              <c:numCache>
                <c:formatCode>General</c:formatCode>
                <c:ptCount val="1"/>
                <c:pt idx="0">
                  <c:v>45</c:v>
                </c:pt>
              </c:numCache>
            </c:numRef>
          </c:val>
          <c:extLst>
            <c:ext xmlns:c16="http://schemas.microsoft.com/office/drawing/2014/chart" uri="{C3380CC4-5D6E-409C-BE32-E72D297353CC}">
              <c16:uniqueId val="{00000002-B237-4F5A-9935-EDB7F548BC84}"/>
            </c:ext>
          </c:extLst>
        </c:ser>
        <c:dLbls>
          <c:showLegendKey val="0"/>
          <c:showVal val="0"/>
          <c:showCatName val="0"/>
          <c:showSerName val="0"/>
          <c:showPercent val="0"/>
          <c:showBubbleSize val="0"/>
        </c:dLbls>
        <c:gapWidth val="219"/>
        <c:overlap val="-27"/>
        <c:axId val="2029517792"/>
        <c:axId val="2029517312"/>
      </c:barChart>
      <c:catAx>
        <c:axId val="202951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517312"/>
        <c:crosses val="autoZero"/>
        <c:auto val="1"/>
        <c:lblAlgn val="ctr"/>
        <c:lblOffset val="100"/>
        <c:noMultiLvlLbl val="0"/>
      </c:catAx>
      <c:valAx>
        <c:axId val="202951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51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BENJAMIN BAZINI</cp:lastModifiedBy>
  <cp:revision>13</cp:revision>
  <dcterms:created xsi:type="dcterms:W3CDTF">2025-01-13T13:44:00Z</dcterms:created>
  <dcterms:modified xsi:type="dcterms:W3CDTF">2025-01-20T15:29:00Z</dcterms:modified>
</cp:coreProperties>
</file>