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Revenue and Cost Driver Analysis: Marriott International &amp; Johnson &amp; Johnson</w:t>
      </w:r>
    </w:p>
    <w:p w:rsidR="00DC7CFE" w:rsidRPr="00DC7CFE" w:rsidRDefault="009D78CB" w:rsidP="00DC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9D78CB" w:rsidRPr="009D78CB" w:rsidRDefault="009D78CB" w:rsidP="009D78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Marriott International: Revenue &amp; Cost Drivers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Smart Art Diagram: Revenue Drivers</w:t>
      </w:r>
    </w:p>
    <w:p w:rsidR="009D78CB" w:rsidRPr="009D78CB" w:rsidRDefault="009D78CB" w:rsidP="009D7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Volume</w:t>
      </w:r>
    </w:p>
    <w:p w:rsidR="009D78CB" w:rsidRPr="009D78CB" w:rsidRDefault="009D78CB" w:rsidP="009D78C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of hotel rooms available globally</w:t>
      </w:r>
    </w:p>
    <w:p w:rsidR="009D78CB" w:rsidRPr="009D78CB" w:rsidRDefault="009D78CB" w:rsidP="009D78C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Occupancy rate (rooms sold/rooms available)</w:t>
      </w:r>
    </w:p>
    <w:p w:rsidR="009D78CB" w:rsidRPr="009D78CB" w:rsidRDefault="009D78CB" w:rsidP="009D78C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Loyalty program participation (Bonvoy memberships)</w:t>
      </w:r>
    </w:p>
    <w:p w:rsidR="009D78CB" w:rsidRPr="009D78CB" w:rsidRDefault="009D78CB" w:rsidP="009D7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Price</w:t>
      </w:r>
    </w:p>
    <w:p w:rsidR="009D78CB" w:rsidRPr="009D78CB" w:rsidRDefault="009D78CB" w:rsidP="009D78C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Average Daily Rate (ADR)</w:t>
      </w:r>
    </w:p>
    <w:p w:rsidR="009D78CB" w:rsidRPr="009D78CB" w:rsidRDefault="009D78CB" w:rsidP="009D78C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Premium pricing for luxury and branded properties</w:t>
      </w:r>
    </w:p>
    <w:p w:rsidR="009D78CB" w:rsidRPr="009D78CB" w:rsidRDefault="009D78CB" w:rsidP="009D78C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Seasonal pricing and demand-driven pricing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Smart Art Diagram: Cost Drivers</w:t>
      </w:r>
    </w:p>
    <w:p w:rsidR="009D78CB" w:rsidRPr="009D78CB" w:rsidRDefault="009D78CB" w:rsidP="009D7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Fixed Costs</w:t>
      </w:r>
    </w:p>
    <w:p w:rsidR="009D78CB" w:rsidRPr="009D78CB" w:rsidRDefault="009D78CB" w:rsidP="009D78C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Depreciation and amortization of owned properties</w:t>
      </w:r>
    </w:p>
    <w:p w:rsidR="009D78CB" w:rsidRPr="009D78CB" w:rsidRDefault="009D78CB" w:rsidP="009D78C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Administrative and corporate office expenses</w:t>
      </w:r>
    </w:p>
    <w:p w:rsidR="009D78CB" w:rsidRPr="009D78CB" w:rsidRDefault="009D78CB" w:rsidP="009D7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Variable Costs</w:t>
      </w:r>
    </w:p>
    <w:p w:rsidR="009D78CB" w:rsidRPr="009D78CB" w:rsidRDefault="009D78CB" w:rsidP="009D78C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Labor (varies with hotel occupancy and location)</w:t>
      </w:r>
    </w:p>
    <w:p w:rsidR="009D78CB" w:rsidRPr="009D78CB" w:rsidRDefault="009D78CB" w:rsidP="009D78C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Utilities and maintenance (variable by room usage)</w:t>
      </w:r>
    </w:p>
    <w:p w:rsidR="009D78CB" w:rsidRPr="009D78CB" w:rsidRDefault="009D78CB" w:rsidP="009D78C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Franchise fees and incentive management fees (linked to performance)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Performance Commentary</w:t>
      </w:r>
    </w:p>
    <w:p w:rsidR="009D78CB" w:rsidRPr="009D78CB" w:rsidRDefault="009D78CB" w:rsidP="009D7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Marriott’s growth is primarily driven by increases in both ADR and occupancy rates post-pandemic.</w:t>
      </w:r>
    </w:p>
    <w:p w:rsidR="009D78CB" w:rsidRPr="009D78CB" w:rsidRDefault="009D78CB" w:rsidP="009D7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Asset-light model (more franchising and management contracts than owned hotels) reduces fixed capital expenditure.</w:t>
      </w:r>
    </w:p>
    <w:p w:rsidR="009D78CB" w:rsidRPr="009D78CB" w:rsidRDefault="009D78CB" w:rsidP="009D78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cost management due to franchising; higher operating margins from franchise income.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Peers</w:t>
      </w: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: Hilton Worldwide, Hyatt Hotels, InterContinental Hotels Group</w:t>
      </w:r>
    </w:p>
    <w:p w:rsidR="009D78CB" w:rsidRPr="009D78CB" w:rsidRDefault="009D78CB" w:rsidP="009D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9D78CB" w:rsidRPr="009D78CB" w:rsidRDefault="009D78CB" w:rsidP="009D78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Johnson &amp; Johnson: Revenue &amp; Cost Drivers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Smart Art Diagram: Revenue Drivers</w:t>
      </w:r>
    </w:p>
    <w:p w:rsidR="009D78CB" w:rsidRPr="009D78CB" w:rsidRDefault="009D78CB" w:rsidP="009D7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Volume</w:t>
      </w:r>
    </w:p>
    <w:p w:rsidR="009D78CB" w:rsidRPr="009D78CB" w:rsidRDefault="009D78CB" w:rsidP="009D78C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of units sold (pharmaceuticals, consumer health, medical devices)</w:t>
      </w:r>
    </w:p>
    <w:p w:rsidR="009D78CB" w:rsidRPr="009D78CB" w:rsidRDefault="009D78CB" w:rsidP="009D78C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Expansion into emerging markets</w:t>
      </w:r>
    </w:p>
    <w:p w:rsidR="009D78CB" w:rsidRPr="009D78CB" w:rsidRDefault="009D78CB" w:rsidP="009D78C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R&amp;D pipeline success (new drugs, device innovations)</w:t>
      </w:r>
    </w:p>
    <w:p w:rsidR="009D78CB" w:rsidRPr="009D78CB" w:rsidRDefault="009D78CB" w:rsidP="009D78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Price</w:t>
      </w:r>
    </w:p>
    <w:p w:rsidR="009D78CB" w:rsidRPr="009D78CB" w:rsidRDefault="009D78CB" w:rsidP="009D78C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Drug pricing (differentiated by geography and exclusivity)</w:t>
      </w:r>
    </w:p>
    <w:p w:rsidR="009D78CB" w:rsidRPr="009D78CB" w:rsidRDefault="009D78CB" w:rsidP="009D78C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Device pricing based on innovation and patents</w:t>
      </w:r>
    </w:p>
    <w:p w:rsidR="009D78CB" w:rsidRPr="009D78CB" w:rsidRDefault="009D78CB" w:rsidP="009D78C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Consumer health pricing through premium branding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Smart Art Diagram: Cost Drivers</w:t>
      </w:r>
    </w:p>
    <w:p w:rsidR="009D78CB" w:rsidRPr="009D78CB" w:rsidRDefault="009D78CB" w:rsidP="009D78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Fixed Costs</w:t>
      </w:r>
    </w:p>
    <w:p w:rsidR="009D78CB" w:rsidRPr="009D78CB" w:rsidRDefault="009D78CB" w:rsidP="009D7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R&amp;D expenditure</w:t>
      </w:r>
    </w:p>
    <w:p w:rsidR="009D78CB" w:rsidRPr="009D78CB" w:rsidRDefault="009D78CB" w:rsidP="009D7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Manufacturing plant overheads</w:t>
      </w:r>
    </w:p>
    <w:p w:rsidR="009D78CB" w:rsidRPr="009D78CB" w:rsidRDefault="009D78CB" w:rsidP="009D7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Corporate functions</w:t>
      </w:r>
    </w:p>
    <w:p w:rsidR="009D78CB" w:rsidRPr="009D78CB" w:rsidRDefault="009D78CB" w:rsidP="009D78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Variable Costs</w:t>
      </w:r>
    </w:p>
    <w:p w:rsidR="009D78CB" w:rsidRPr="009D78CB" w:rsidRDefault="009D78CB" w:rsidP="009D7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Raw material costs (pharmaceutical ingredients)</w:t>
      </w:r>
    </w:p>
    <w:p w:rsidR="009D78CB" w:rsidRPr="009D78CB" w:rsidRDefault="009D78CB" w:rsidP="009D7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Packaging and logistics (linked to production volume)</w:t>
      </w:r>
    </w:p>
    <w:p w:rsidR="009D78CB" w:rsidRPr="009D78CB" w:rsidRDefault="009D78CB" w:rsidP="009D7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Sales and marketing expenses (scaled by product launch and geography)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Performance Commentary</w:t>
      </w:r>
    </w:p>
    <w:p w:rsidR="009D78CB" w:rsidRPr="009D78CB" w:rsidRDefault="009D78CB" w:rsidP="009D7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J&amp;J’s diversified portfolio smooths revenue volatility.</w:t>
      </w:r>
    </w:p>
    <w:p w:rsidR="009D78CB" w:rsidRPr="009D78CB" w:rsidRDefault="009D78CB" w:rsidP="009D7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Drug pipeline success and high-margin medical devices drive revenue growth.</w:t>
      </w:r>
    </w:p>
    <w:p w:rsidR="009D78CB" w:rsidRPr="009D78CB" w:rsidRDefault="009D78CB" w:rsidP="009D78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Significant investment in R&amp;D yields competitive edge; however, product recalls or patent cliffs can lead to temporary dips.</w:t>
      </w:r>
    </w:p>
    <w:p w:rsidR="009D78CB" w:rsidRPr="009D78CB" w:rsidRDefault="009D78CB" w:rsidP="009D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Peers</w:t>
      </w: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t>: Pfizer, Merck, Abbott Laboratories, Procter &amp; Gamble (Consumer Health)</w:t>
      </w:r>
    </w:p>
    <w:p w:rsidR="009D78CB" w:rsidRPr="009D78CB" w:rsidRDefault="009D78CB" w:rsidP="009D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8CB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3" style="width:0;height:1.5pt" o:hralign="center" o:hrstd="t" o:hr="t" fillcolor="#a0a0a0" stroked="f"/>
        </w:pict>
      </w:r>
    </w:p>
    <w:p w:rsidR="007D3526" w:rsidRDefault="007D3526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3526" w:rsidRDefault="007D3526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3526" w:rsidRDefault="007D3526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3526" w:rsidRDefault="007D3526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3526" w:rsidRDefault="007D3526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3526" w:rsidRDefault="007D3526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3526" w:rsidRDefault="00DC7CFE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6026150" cy="4006850"/>
            <wp:effectExtent l="0" t="38100" r="0" b="12700"/>
            <wp:docPr id="192211859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6AD" w:rsidRDefault="00A166AD" w:rsidP="007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023F2" w:rsidRDefault="00C023F2" w:rsidP="00DC7CFE">
      <w:pPr>
        <w:spacing w:before="100" w:beforeAutospacing="1" w:after="100" w:afterAutospacing="1" w:line="240" w:lineRule="auto"/>
      </w:pPr>
    </w:p>
    <w:sectPr w:rsidR="00C02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FB1"/>
    <w:multiLevelType w:val="multilevel"/>
    <w:tmpl w:val="E7E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D3F8A"/>
    <w:multiLevelType w:val="multilevel"/>
    <w:tmpl w:val="88B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650F"/>
    <w:multiLevelType w:val="multilevel"/>
    <w:tmpl w:val="9D5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530A0"/>
    <w:multiLevelType w:val="multilevel"/>
    <w:tmpl w:val="5C2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434B9"/>
    <w:multiLevelType w:val="multilevel"/>
    <w:tmpl w:val="950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D7A1F"/>
    <w:multiLevelType w:val="multilevel"/>
    <w:tmpl w:val="92E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B6352"/>
    <w:multiLevelType w:val="multilevel"/>
    <w:tmpl w:val="FA8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B63AE"/>
    <w:multiLevelType w:val="multilevel"/>
    <w:tmpl w:val="BC6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036EF"/>
    <w:multiLevelType w:val="multilevel"/>
    <w:tmpl w:val="5CD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56B08"/>
    <w:multiLevelType w:val="multilevel"/>
    <w:tmpl w:val="BEC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02BAA"/>
    <w:multiLevelType w:val="multilevel"/>
    <w:tmpl w:val="B196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8055E"/>
    <w:multiLevelType w:val="multilevel"/>
    <w:tmpl w:val="4AA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F543E"/>
    <w:multiLevelType w:val="multilevel"/>
    <w:tmpl w:val="27D4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C3B3C"/>
    <w:multiLevelType w:val="multilevel"/>
    <w:tmpl w:val="7F5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162D1"/>
    <w:multiLevelType w:val="multilevel"/>
    <w:tmpl w:val="55E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9270D"/>
    <w:multiLevelType w:val="multilevel"/>
    <w:tmpl w:val="B9F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495244">
    <w:abstractNumId w:val="12"/>
  </w:num>
  <w:num w:numId="2" w16cid:durableId="651911806">
    <w:abstractNumId w:val="3"/>
  </w:num>
  <w:num w:numId="3" w16cid:durableId="750590194">
    <w:abstractNumId w:val="9"/>
  </w:num>
  <w:num w:numId="4" w16cid:durableId="1797748997">
    <w:abstractNumId w:val="6"/>
  </w:num>
  <w:num w:numId="5" w16cid:durableId="1194997209">
    <w:abstractNumId w:val="1"/>
  </w:num>
  <w:num w:numId="6" w16cid:durableId="571545243">
    <w:abstractNumId w:val="14"/>
  </w:num>
  <w:num w:numId="7" w16cid:durableId="193271743">
    <w:abstractNumId w:val="13"/>
  </w:num>
  <w:num w:numId="8" w16cid:durableId="368916339">
    <w:abstractNumId w:val="8"/>
  </w:num>
  <w:num w:numId="9" w16cid:durableId="1846284502">
    <w:abstractNumId w:val="0"/>
  </w:num>
  <w:num w:numId="10" w16cid:durableId="1487475164">
    <w:abstractNumId w:val="5"/>
  </w:num>
  <w:num w:numId="11" w16cid:durableId="796490293">
    <w:abstractNumId w:val="10"/>
  </w:num>
  <w:num w:numId="12" w16cid:durableId="652220404">
    <w:abstractNumId w:val="4"/>
  </w:num>
  <w:num w:numId="13" w16cid:durableId="213079905">
    <w:abstractNumId w:val="2"/>
  </w:num>
  <w:num w:numId="14" w16cid:durableId="715545867">
    <w:abstractNumId w:val="15"/>
  </w:num>
  <w:num w:numId="15" w16cid:durableId="1194877724">
    <w:abstractNumId w:val="7"/>
  </w:num>
  <w:num w:numId="16" w16cid:durableId="715592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26"/>
    <w:rsid w:val="007A61D9"/>
    <w:rsid w:val="007D3526"/>
    <w:rsid w:val="009D78CB"/>
    <w:rsid w:val="00A166AD"/>
    <w:rsid w:val="00C023F2"/>
    <w:rsid w:val="00D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4B4E"/>
  <w15:chartTrackingRefBased/>
  <w15:docId w15:val="{A68C5D5D-CC75-4187-A4FF-F79180A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5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5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5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5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994851-9443-4E98-BC35-32D8ECDC07D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239BC94-9BF2-492B-BC3E-8BB5BF5CF998}">
      <dgm:prSet phldrT="[Text]"/>
      <dgm:spPr/>
      <dgm:t>
        <a:bodyPr/>
        <a:lstStyle/>
        <a:p>
          <a:pPr>
            <a:buNone/>
          </a:pPr>
          <a:r>
            <a:rPr lang="en-GB" b="1"/>
            <a:t>Marriott International, Inc.</a:t>
          </a:r>
          <a:endParaRPr lang="en-GB"/>
        </a:p>
      </dgm:t>
    </dgm:pt>
    <dgm:pt modelId="{C7C27B3B-A62F-4716-AEE6-F534C5B6DB04}" type="parTrans" cxnId="{936DC3B0-30AF-4507-86F4-0E9ED11F1F87}">
      <dgm:prSet/>
      <dgm:spPr/>
      <dgm:t>
        <a:bodyPr/>
        <a:lstStyle/>
        <a:p>
          <a:endParaRPr lang="en-GB"/>
        </a:p>
      </dgm:t>
    </dgm:pt>
    <dgm:pt modelId="{1D632968-6C6B-415B-A9B1-525587CB35B5}" type="sibTrans" cxnId="{936DC3B0-30AF-4507-86F4-0E9ED11F1F87}">
      <dgm:prSet/>
      <dgm:spPr/>
      <dgm:t>
        <a:bodyPr/>
        <a:lstStyle/>
        <a:p>
          <a:endParaRPr lang="en-GB"/>
        </a:p>
      </dgm:t>
    </dgm:pt>
    <dgm:pt modelId="{1C64E95A-DF27-4384-BAE5-0B4F691FFCC1}">
      <dgm:prSet phldrT="[Text]"/>
      <dgm:spPr/>
      <dgm:t>
        <a:bodyPr/>
        <a:lstStyle/>
        <a:p>
          <a:pPr>
            <a:buNone/>
          </a:pPr>
          <a:r>
            <a:rPr lang="en-GB" b="1"/>
            <a:t>Breakdown:</a:t>
          </a:r>
          <a:endParaRPr lang="en-GB"/>
        </a:p>
      </dgm:t>
    </dgm:pt>
    <dgm:pt modelId="{668AC1F1-F5DE-4E54-A095-EB4FDAA9F5F6}" type="parTrans" cxnId="{849BA539-9981-4B42-B617-12097625F2FB}">
      <dgm:prSet/>
      <dgm:spPr/>
      <dgm:t>
        <a:bodyPr/>
        <a:lstStyle/>
        <a:p>
          <a:endParaRPr lang="en-GB"/>
        </a:p>
      </dgm:t>
    </dgm:pt>
    <dgm:pt modelId="{D96A30CE-AE43-4CC4-82FA-8B3C2D1A649C}" type="sibTrans" cxnId="{849BA539-9981-4B42-B617-12097625F2FB}">
      <dgm:prSet/>
      <dgm:spPr/>
      <dgm:t>
        <a:bodyPr/>
        <a:lstStyle/>
        <a:p>
          <a:endParaRPr lang="en-GB"/>
        </a:p>
      </dgm:t>
    </dgm:pt>
    <dgm:pt modelId="{644AC3EE-3EB0-4182-B131-F84E17BC378C}">
      <dgm:prSet phldrT="[Text]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General, Administrative, and Other</a:t>
          </a:r>
          <a:r>
            <a:rPr lang="en-GB"/>
            <a:t>: $1,074 million in 2024, up from $1,011 million in 2023.</a:t>
          </a:r>
        </a:p>
      </dgm:t>
    </dgm:pt>
    <dgm:pt modelId="{069D727C-84E8-4B36-AB94-11A7564E4DA6}" type="parTrans" cxnId="{FE6A647B-D6FB-4F17-9575-B27624675651}">
      <dgm:prSet/>
      <dgm:spPr/>
      <dgm:t>
        <a:bodyPr/>
        <a:lstStyle/>
        <a:p>
          <a:endParaRPr lang="en-GB"/>
        </a:p>
      </dgm:t>
    </dgm:pt>
    <dgm:pt modelId="{C93E489F-80F5-4863-B31F-D6ED83353BE8}" type="sibTrans" cxnId="{FE6A647B-D6FB-4F17-9575-B27624675651}">
      <dgm:prSet/>
      <dgm:spPr/>
      <dgm:t>
        <a:bodyPr/>
        <a:lstStyle/>
        <a:p>
          <a:endParaRPr lang="en-GB"/>
        </a:p>
      </dgm:t>
    </dgm:pt>
    <dgm:pt modelId="{4F11A33E-CC8B-46BB-B64A-09B634A6DB68}">
      <dgm:prSet/>
      <dgm:spPr/>
      <dgm:t>
        <a:bodyPr/>
        <a:lstStyle/>
        <a:p>
          <a:r>
            <a:rPr lang="en-GB" b="1"/>
            <a:t>Revenue Drivers</a:t>
          </a:r>
          <a:endParaRPr lang="en-GB"/>
        </a:p>
      </dgm:t>
    </dgm:pt>
    <dgm:pt modelId="{F7FB6094-6901-4F85-B249-8DF7FD4642D7}" type="parTrans" cxnId="{F371984F-136C-44D6-9DCD-D84F66C467A2}">
      <dgm:prSet/>
      <dgm:spPr/>
      <dgm:t>
        <a:bodyPr/>
        <a:lstStyle/>
        <a:p>
          <a:endParaRPr lang="en-GB"/>
        </a:p>
      </dgm:t>
    </dgm:pt>
    <dgm:pt modelId="{B7F609D0-00BA-4C48-A326-34D35AE81FA6}" type="sibTrans" cxnId="{F371984F-136C-44D6-9DCD-D84F66C467A2}">
      <dgm:prSet/>
      <dgm:spPr/>
      <dgm:t>
        <a:bodyPr/>
        <a:lstStyle/>
        <a:p>
          <a:endParaRPr lang="en-GB"/>
        </a:p>
      </dgm:t>
    </dgm:pt>
    <dgm:pt modelId="{960D008D-73D4-48B3-8863-3A932C2BF70A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Base Management Fees</a:t>
          </a:r>
          <a:r>
            <a:rPr lang="en-GB"/>
            <a:t>: $1,288 million in 2024, up from $1,238 million in 2023.</a:t>
          </a:r>
        </a:p>
      </dgm:t>
    </dgm:pt>
    <dgm:pt modelId="{FBEBA896-D950-4434-B1A1-2B0F75911B7D}" type="parTrans" cxnId="{D852FC95-EE91-417B-B0A4-C614BCE4E76F}">
      <dgm:prSet/>
      <dgm:spPr/>
      <dgm:t>
        <a:bodyPr/>
        <a:lstStyle/>
        <a:p>
          <a:endParaRPr lang="en-GB"/>
        </a:p>
      </dgm:t>
    </dgm:pt>
    <dgm:pt modelId="{32ACFA1D-4194-43F3-B528-FBB7018C938E}" type="sibTrans" cxnId="{D852FC95-EE91-417B-B0A4-C614BCE4E76F}">
      <dgm:prSet/>
      <dgm:spPr/>
      <dgm:t>
        <a:bodyPr/>
        <a:lstStyle/>
        <a:p>
          <a:endParaRPr lang="en-GB"/>
        </a:p>
      </dgm:t>
    </dgm:pt>
    <dgm:pt modelId="{656FBD9A-7D88-4AA5-9206-7C3B54277082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Franchise Fees</a:t>
          </a:r>
          <a:r>
            <a:rPr lang="en-GB"/>
            <a:t>: $3,113 million in 2024, up from $2,831 million in 2023.</a:t>
          </a:r>
        </a:p>
      </dgm:t>
    </dgm:pt>
    <dgm:pt modelId="{D5F6B320-165A-40BE-A171-4DD1F6B8B7CD}" type="parTrans" cxnId="{FA64850F-CC0F-4B80-8493-190710E86B71}">
      <dgm:prSet/>
      <dgm:spPr/>
      <dgm:t>
        <a:bodyPr/>
        <a:lstStyle/>
        <a:p>
          <a:endParaRPr lang="en-GB"/>
        </a:p>
      </dgm:t>
    </dgm:pt>
    <dgm:pt modelId="{EE6BB107-580F-4B3C-AC25-BB292696AACA}" type="sibTrans" cxnId="{FA64850F-CC0F-4B80-8493-190710E86B71}">
      <dgm:prSet/>
      <dgm:spPr/>
      <dgm:t>
        <a:bodyPr/>
        <a:lstStyle/>
        <a:p>
          <a:endParaRPr lang="en-GB"/>
        </a:p>
      </dgm:t>
    </dgm:pt>
    <dgm:pt modelId="{03F58661-5F5C-4699-BF8D-1E1EE722095F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Incentive Management Fees</a:t>
          </a:r>
          <a:r>
            <a:rPr lang="en-GB"/>
            <a:t>: $769 million in 2024, up from $755 million in 2023.</a:t>
          </a:r>
        </a:p>
      </dgm:t>
    </dgm:pt>
    <dgm:pt modelId="{8EA1F51B-AE2B-4DFD-80BE-5C11C05D90A4}" type="parTrans" cxnId="{B572AFE9-E39A-4671-8341-F824CA955704}">
      <dgm:prSet/>
      <dgm:spPr/>
      <dgm:t>
        <a:bodyPr/>
        <a:lstStyle/>
        <a:p>
          <a:endParaRPr lang="en-GB"/>
        </a:p>
      </dgm:t>
    </dgm:pt>
    <dgm:pt modelId="{A4452A67-778B-47BF-BFA8-7D83DD7BCAB2}" type="sibTrans" cxnId="{B572AFE9-E39A-4671-8341-F824CA955704}">
      <dgm:prSet/>
      <dgm:spPr/>
      <dgm:t>
        <a:bodyPr/>
        <a:lstStyle/>
        <a:p>
          <a:endParaRPr lang="en-GB"/>
        </a:p>
      </dgm:t>
    </dgm:pt>
    <dgm:pt modelId="{B61F2BF1-F0F5-49CE-A301-A380E86A2CAE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Owned, Leased, and Other Revenue</a:t>
          </a:r>
          <a:r>
            <a:rPr lang="en-GB"/>
            <a:t>: $1,551 million in 2024, slightly down from $1,564 million in 2023.</a:t>
          </a:r>
        </a:p>
      </dgm:t>
    </dgm:pt>
    <dgm:pt modelId="{E240F857-DB73-4626-83A5-63B4676D81A6}" type="parTrans" cxnId="{8A955E58-F8DA-40C6-ADE5-7A4A5B6A89BC}">
      <dgm:prSet/>
      <dgm:spPr/>
      <dgm:t>
        <a:bodyPr/>
        <a:lstStyle/>
        <a:p>
          <a:endParaRPr lang="en-GB"/>
        </a:p>
      </dgm:t>
    </dgm:pt>
    <dgm:pt modelId="{5ECCA183-F35E-4569-8460-351CABC94262}" type="sibTrans" cxnId="{8A955E58-F8DA-40C6-ADE5-7A4A5B6A89BC}">
      <dgm:prSet/>
      <dgm:spPr/>
      <dgm:t>
        <a:bodyPr/>
        <a:lstStyle/>
        <a:p>
          <a:endParaRPr lang="en-GB"/>
        </a:p>
      </dgm:t>
    </dgm:pt>
    <dgm:pt modelId="{D6489D2F-4A41-4389-910E-C795B35775CE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Cost Reimbursement Revenue</a:t>
          </a:r>
          <a:r>
            <a:rPr lang="en-GB"/>
            <a:t>: $18,482 million in 2024, up from $17,413 million in 2023.SEC</a:t>
          </a:r>
        </a:p>
      </dgm:t>
    </dgm:pt>
    <dgm:pt modelId="{B4E78ED7-C785-404B-8DEA-589C35A222A6}" type="parTrans" cxnId="{8CA3FC9D-F548-48A4-B483-BD8D7FA35CDE}">
      <dgm:prSet/>
      <dgm:spPr/>
      <dgm:t>
        <a:bodyPr/>
        <a:lstStyle/>
        <a:p>
          <a:endParaRPr lang="en-GB"/>
        </a:p>
      </dgm:t>
    </dgm:pt>
    <dgm:pt modelId="{0DEDE333-8E13-4A97-B897-1B19D4FDDD4B}" type="sibTrans" cxnId="{8CA3FC9D-F548-48A4-B483-BD8D7FA35CDE}">
      <dgm:prSet/>
      <dgm:spPr/>
      <dgm:t>
        <a:bodyPr/>
        <a:lstStyle/>
        <a:p>
          <a:endParaRPr lang="en-GB"/>
        </a:p>
      </dgm:t>
    </dgm:pt>
    <dgm:pt modelId="{DD111EBC-2DE1-461A-B53C-2AC06123D4FB}">
      <dgm:prSet/>
      <dgm:spPr/>
      <dgm:t>
        <a:bodyPr/>
        <a:lstStyle/>
        <a:p>
          <a:pPr>
            <a:buNone/>
          </a:pPr>
          <a:r>
            <a:rPr lang="en-GB" b="1"/>
            <a:t>Price and Volume Analysis:</a:t>
          </a:r>
          <a:endParaRPr lang="en-GB"/>
        </a:p>
      </dgm:t>
    </dgm:pt>
    <dgm:pt modelId="{74BC2813-F059-4031-B0F5-EB4C310DE88B}" type="parTrans" cxnId="{B869A3A9-D38E-4354-8F40-4995145AD552}">
      <dgm:prSet/>
      <dgm:spPr/>
      <dgm:t>
        <a:bodyPr/>
        <a:lstStyle/>
        <a:p>
          <a:endParaRPr lang="en-GB"/>
        </a:p>
      </dgm:t>
    </dgm:pt>
    <dgm:pt modelId="{E13B28E5-848E-4644-BDB2-6FE3B6047628}" type="sibTrans" cxnId="{B869A3A9-D38E-4354-8F40-4995145AD552}">
      <dgm:prSet/>
      <dgm:spPr/>
      <dgm:t>
        <a:bodyPr/>
        <a:lstStyle/>
        <a:p>
          <a:endParaRPr lang="en-GB"/>
        </a:p>
      </dgm:t>
    </dgm:pt>
    <dgm:pt modelId="{CDD32389-36D4-4693-8A5C-BB4FF696E611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Average Daily Rate (ADR)</a:t>
          </a:r>
          <a:r>
            <a:rPr lang="en-GB"/>
            <a:t>: Increases in ADR contribute to higher revenue per available room (RevPAR), impacting management and franchise fees.</a:t>
          </a:r>
        </a:p>
      </dgm:t>
    </dgm:pt>
    <dgm:pt modelId="{B2C54180-FA2B-4B31-899C-05A5B6840E8F}" type="parTrans" cxnId="{42836F3F-C098-4E0D-955A-1630A4E14D29}">
      <dgm:prSet/>
      <dgm:spPr/>
      <dgm:t>
        <a:bodyPr/>
        <a:lstStyle/>
        <a:p>
          <a:endParaRPr lang="en-GB"/>
        </a:p>
      </dgm:t>
    </dgm:pt>
    <dgm:pt modelId="{6597D0B9-9040-4FBB-9CC5-6ABC8DBD159A}" type="sibTrans" cxnId="{42836F3F-C098-4E0D-955A-1630A4E14D29}">
      <dgm:prSet/>
      <dgm:spPr/>
      <dgm:t>
        <a:bodyPr/>
        <a:lstStyle/>
        <a:p>
          <a:endParaRPr lang="en-GB"/>
        </a:p>
      </dgm:t>
    </dgm:pt>
    <dgm:pt modelId="{A1DAF335-1047-4881-8473-3CA8B42E911B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Occupancy Rates</a:t>
          </a:r>
          <a:r>
            <a:rPr lang="en-GB"/>
            <a:t>: Higher occupancy leads to increased volume, boosting incentive management fees and overall revenue.</a:t>
          </a:r>
        </a:p>
      </dgm:t>
    </dgm:pt>
    <dgm:pt modelId="{FFD02D9D-1EA6-4C8B-90B9-536D23B51BCF}" type="parTrans" cxnId="{2E96ACD2-5158-4916-8B4A-48E7308672A1}">
      <dgm:prSet/>
      <dgm:spPr/>
      <dgm:t>
        <a:bodyPr/>
        <a:lstStyle/>
        <a:p>
          <a:endParaRPr lang="en-GB"/>
        </a:p>
      </dgm:t>
    </dgm:pt>
    <dgm:pt modelId="{61689117-AC83-4070-AB67-A60913AAD518}" type="sibTrans" cxnId="{2E96ACD2-5158-4916-8B4A-48E7308672A1}">
      <dgm:prSet/>
      <dgm:spPr/>
      <dgm:t>
        <a:bodyPr/>
        <a:lstStyle/>
        <a:p>
          <a:endParaRPr lang="en-GB"/>
        </a:p>
      </dgm:t>
    </dgm:pt>
    <dgm:pt modelId="{D8F803AF-A606-43CF-86C5-5602D5DCED50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Number of Managed/Franchised Properties</a:t>
          </a:r>
          <a:r>
            <a:rPr lang="en-GB"/>
            <a:t>: Expansion in property count increases the base for fee generation.</a:t>
          </a:r>
        </a:p>
      </dgm:t>
    </dgm:pt>
    <dgm:pt modelId="{697315DF-1773-4ED6-98F0-64C3682E68BB}" type="parTrans" cxnId="{272C20F3-5848-4922-B203-740D0115229B}">
      <dgm:prSet/>
      <dgm:spPr/>
      <dgm:t>
        <a:bodyPr/>
        <a:lstStyle/>
        <a:p>
          <a:endParaRPr lang="en-GB"/>
        </a:p>
      </dgm:t>
    </dgm:pt>
    <dgm:pt modelId="{B6012121-9924-4992-A2FE-97C50DDA444C}" type="sibTrans" cxnId="{272C20F3-5848-4922-B203-740D0115229B}">
      <dgm:prSet/>
      <dgm:spPr/>
      <dgm:t>
        <a:bodyPr/>
        <a:lstStyle/>
        <a:p>
          <a:endParaRPr lang="en-GB"/>
        </a:p>
      </dgm:t>
    </dgm:pt>
    <dgm:pt modelId="{D77DAAAB-E393-4153-97E5-CA37FE853699}">
      <dgm:prSet/>
      <dgm:spPr/>
      <dgm:t>
        <a:bodyPr/>
        <a:lstStyle/>
        <a:p>
          <a:pPr>
            <a:buNone/>
          </a:pPr>
          <a:r>
            <a:rPr lang="en-GB" b="1"/>
            <a:t>Cost Drivers</a:t>
          </a:r>
          <a:endParaRPr lang="en-GB"/>
        </a:p>
      </dgm:t>
    </dgm:pt>
    <dgm:pt modelId="{93160C06-FCEF-454C-A2C2-0FE7BA74B71F}" type="parTrans" cxnId="{CFFF7F67-203F-47DF-9DB0-4860C4C24CE0}">
      <dgm:prSet/>
      <dgm:spPr/>
      <dgm:t>
        <a:bodyPr/>
        <a:lstStyle/>
        <a:p>
          <a:endParaRPr lang="en-GB"/>
        </a:p>
      </dgm:t>
    </dgm:pt>
    <dgm:pt modelId="{F3C5FFFD-BB61-4ADA-ADE2-89C66638137C}" type="sibTrans" cxnId="{CFFF7F67-203F-47DF-9DB0-4860C4C24CE0}">
      <dgm:prSet/>
      <dgm:spPr/>
      <dgm:t>
        <a:bodyPr/>
        <a:lstStyle/>
        <a:p>
          <a:endParaRPr lang="en-GB"/>
        </a:p>
      </dgm:t>
    </dgm:pt>
    <dgm:pt modelId="{3E6DDE0A-15E9-4AC9-BCE3-1F89A8234353}">
      <dgm:prSet/>
      <dgm:spPr/>
      <dgm:t>
        <a:bodyPr/>
        <a:lstStyle/>
        <a:p>
          <a:pPr>
            <a:buNone/>
          </a:pPr>
          <a:r>
            <a:rPr lang="en-GB" b="1"/>
            <a:t>Breakdown:</a:t>
          </a:r>
          <a:endParaRPr lang="en-GB"/>
        </a:p>
      </dgm:t>
    </dgm:pt>
    <dgm:pt modelId="{A4E154A8-B0D0-4A3C-A66F-768A41D83A61}" type="parTrans" cxnId="{80654A57-4A8B-4C72-8B82-140EC878CC08}">
      <dgm:prSet/>
      <dgm:spPr/>
      <dgm:t>
        <a:bodyPr/>
        <a:lstStyle/>
        <a:p>
          <a:endParaRPr lang="en-GB"/>
        </a:p>
      </dgm:t>
    </dgm:pt>
    <dgm:pt modelId="{12971ABF-B280-4662-9C20-EE2A62948966}" type="sibTrans" cxnId="{80654A57-4A8B-4C72-8B82-140EC878CC08}">
      <dgm:prSet/>
      <dgm:spPr/>
      <dgm:t>
        <a:bodyPr/>
        <a:lstStyle/>
        <a:p>
          <a:endParaRPr lang="en-GB"/>
        </a:p>
      </dgm:t>
    </dgm:pt>
    <dgm:pt modelId="{18A1CE53-0B99-415F-8991-09904E14959C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Owned, Leased, and Other - Direct Expenses</a:t>
          </a:r>
          <a:r>
            <a:rPr lang="en-GB"/>
            <a:t>: $1,200 million in 2024, up from $1,165 million in 2023.</a:t>
          </a:r>
        </a:p>
      </dgm:t>
    </dgm:pt>
    <dgm:pt modelId="{363E0664-4883-4AD9-A868-26868AA085E3}" type="parTrans" cxnId="{01EA0BBC-2D00-472E-921A-02856509157A}">
      <dgm:prSet/>
      <dgm:spPr/>
      <dgm:t>
        <a:bodyPr/>
        <a:lstStyle/>
        <a:p>
          <a:endParaRPr lang="en-GB"/>
        </a:p>
      </dgm:t>
    </dgm:pt>
    <dgm:pt modelId="{829B4C4F-01F6-4960-9CA1-D8540A5517CC}" type="sibTrans" cxnId="{01EA0BBC-2D00-472E-921A-02856509157A}">
      <dgm:prSet/>
      <dgm:spPr/>
      <dgm:t>
        <a:bodyPr/>
        <a:lstStyle/>
        <a:p>
          <a:endParaRPr lang="en-GB"/>
        </a:p>
      </dgm:t>
    </dgm:pt>
    <dgm:pt modelId="{657178F4-88ED-48E3-B60E-05A0189767DC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Depreciation, Amortization, and Other</a:t>
          </a:r>
          <a:r>
            <a:rPr lang="en-GB"/>
            <a:t>: $183 million in 2024, down from $189 million in 2023.</a:t>
          </a:r>
        </a:p>
      </dgm:t>
    </dgm:pt>
    <dgm:pt modelId="{A2FC279F-2E86-4A83-A089-9C7845EFE144}" type="parTrans" cxnId="{732BDB7C-D96D-4422-AE8B-32ECA641B35D}">
      <dgm:prSet/>
      <dgm:spPr/>
      <dgm:t>
        <a:bodyPr/>
        <a:lstStyle/>
        <a:p>
          <a:endParaRPr lang="en-GB"/>
        </a:p>
      </dgm:t>
    </dgm:pt>
    <dgm:pt modelId="{06E4F7F6-791A-4189-95DD-A553E6637EC0}" type="sibTrans" cxnId="{732BDB7C-D96D-4422-AE8B-32ECA641B35D}">
      <dgm:prSet/>
      <dgm:spPr/>
      <dgm:t>
        <a:bodyPr/>
        <a:lstStyle/>
        <a:p>
          <a:endParaRPr lang="en-GB"/>
        </a:p>
      </dgm:t>
    </dgm:pt>
    <dgm:pt modelId="{A13F7BCF-2E91-440C-AF83-A1213A48CDE3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General, Administrative, and Other</a:t>
          </a:r>
          <a:r>
            <a:rPr lang="en-GB"/>
            <a:t>: $1,074 million in 2024, up from $1,011 million in 2023.</a:t>
          </a:r>
        </a:p>
      </dgm:t>
    </dgm:pt>
    <dgm:pt modelId="{074EF5D7-78CB-4D9C-BDFD-9AF126A80837}" type="parTrans" cxnId="{85F83401-3686-4814-B4E8-ACBF5CEBE437}">
      <dgm:prSet/>
      <dgm:spPr/>
      <dgm:t>
        <a:bodyPr/>
        <a:lstStyle/>
        <a:p>
          <a:endParaRPr lang="en-GB"/>
        </a:p>
      </dgm:t>
    </dgm:pt>
    <dgm:pt modelId="{EB974D62-570E-42CA-A36F-338F7FB7ACD9}" type="sibTrans" cxnId="{85F83401-3686-4814-B4E8-ACBF5CEBE437}">
      <dgm:prSet/>
      <dgm:spPr/>
      <dgm:t>
        <a:bodyPr/>
        <a:lstStyle/>
        <a:p>
          <a:endParaRPr lang="en-GB"/>
        </a:p>
      </dgm:t>
    </dgm:pt>
    <dgm:pt modelId="{BA7A0B4E-A6F0-4B06-AE66-EA83878146A7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Restructuring and Merger-Related Charges</a:t>
          </a:r>
          <a:r>
            <a:rPr lang="en-GB"/>
            <a:t>: $77 million in 2024, up from $60 million in 2023.</a:t>
          </a:r>
        </a:p>
      </dgm:t>
    </dgm:pt>
    <dgm:pt modelId="{87651222-9342-4D74-A505-3B861A3C77DB}" type="parTrans" cxnId="{40009067-C605-4519-83A8-48A39B0C315E}">
      <dgm:prSet/>
      <dgm:spPr/>
      <dgm:t>
        <a:bodyPr/>
        <a:lstStyle/>
        <a:p>
          <a:endParaRPr lang="en-GB"/>
        </a:p>
      </dgm:t>
    </dgm:pt>
    <dgm:pt modelId="{23ED659A-BDD6-447B-9533-DCDE582DDBC7}" type="sibTrans" cxnId="{40009067-C605-4519-83A8-48A39B0C315E}">
      <dgm:prSet/>
      <dgm:spPr/>
      <dgm:t>
        <a:bodyPr/>
        <a:lstStyle/>
        <a:p>
          <a:endParaRPr lang="en-GB"/>
        </a:p>
      </dgm:t>
    </dgm:pt>
    <dgm:pt modelId="{0E166D13-A345-4B43-A7DE-9CCAAE5C308B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Reimbursed Expenses</a:t>
          </a:r>
          <a:r>
            <a:rPr lang="en-GB"/>
            <a:t>: $18,799 million in 2024, up from $17,424 million in 2023. </a:t>
          </a:r>
        </a:p>
      </dgm:t>
    </dgm:pt>
    <dgm:pt modelId="{EB3173BE-0B4E-4598-BCC1-77BAD4D5445A}" type="parTrans" cxnId="{F019CBE6-C0E8-43E3-AE22-9E4325CFD0B6}">
      <dgm:prSet/>
      <dgm:spPr/>
      <dgm:t>
        <a:bodyPr/>
        <a:lstStyle/>
        <a:p>
          <a:endParaRPr lang="en-GB"/>
        </a:p>
      </dgm:t>
    </dgm:pt>
    <dgm:pt modelId="{740BA168-126C-4528-B11F-BD8D4C63581A}" type="sibTrans" cxnId="{F019CBE6-C0E8-43E3-AE22-9E4325CFD0B6}">
      <dgm:prSet/>
      <dgm:spPr/>
      <dgm:t>
        <a:bodyPr/>
        <a:lstStyle/>
        <a:p>
          <a:endParaRPr lang="en-GB"/>
        </a:p>
      </dgm:t>
    </dgm:pt>
    <dgm:pt modelId="{75055117-BE20-43F1-874E-4C7E132A2CEA}">
      <dgm:prSet/>
      <dgm:spPr/>
      <dgm:t>
        <a:bodyPr/>
        <a:lstStyle/>
        <a:p>
          <a:pPr>
            <a:buNone/>
          </a:pPr>
          <a:r>
            <a:rPr lang="en-GB" b="1"/>
            <a:t>Cost Structure Analysis:</a:t>
          </a:r>
          <a:endParaRPr lang="en-GB"/>
        </a:p>
      </dgm:t>
    </dgm:pt>
    <dgm:pt modelId="{9B815452-304E-4116-A1FF-A0E57DEE852C}" type="parTrans" cxnId="{C80E380D-8824-4810-9875-A8D9597040AD}">
      <dgm:prSet/>
      <dgm:spPr/>
      <dgm:t>
        <a:bodyPr/>
        <a:lstStyle/>
        <a:p>
          <a:endParaRPr lang="en-GB"/>
        </a:p>
      </dgm:t>
    </dgm:pt>
    <dgm:pt modelId="{46288C15-0378-4D40-ACF5-1727EA1AE427}" type="sibTrans" cxnId="{C80E380D-8824-4810-9875-A8D9597040AD}">
      <dgm:prSet/>
      <dgm:spPr/>
      <dgm:t>
        <a:bodyPr/>
        <a:lstStyle/>
        <a:p>
          <a:endParaRPr lang="en-GB"/>
        </a:p>
      </dgm:t>
    </dgm:pt>
    <dgm:pt modelId="{C4218B23-18B1-44C1-8DB4-EBA274270E8A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Fixed Costs</a:t>
          </a:r>
          <a:r>
            <a:rPr lang="en-GB"/>
            <a:t>: Depreciation and general administrative expenses remain relatively stable, indicating a significant fixed cost component.</a:t>
          </a:r>
        </a:p>
      </dgm:t>
    </dgm:pt>
    <dgm:pt modelId="{8DA10890-4535-4843-ABA6-3164F70DE8CF}" type="parTrans" cxnId="{4070E7F3-5750-4AE3-9779-90A501CAA820}">
      <dgm:prSet/>
      <dgm:spPr/>
      <dgm:t>
        <a:bodyPr/>
        <a:lstStyle/>
        <a:p>
          <a:endParaRPr lang="en-GB"/>
        </a:p>
      </dgm:t>
    </dgm:pt>
    <dgm:pt modelId="{0B78014C-4ACE-4764-9DDD-54537EBBD6E0}" type="sibTrans" cxnId="{4070E7F3-5750-4AE3-9779-90A501CAA820}">
      <dgm:prSet/>
      <dgm:spPr/>
      <dgm:t>
        <a:bodyPr/>
        <a:lstStyle/>
        <a:p>
          <a:endParaRPr lang="en-GB"/>
        </a:p>
      </dgm:t>
    </dgm:pt>
    <dgm:pt modelId="{81BA839D-C57A-4B42-B9B7-39A42DE80FDF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GB" b="1"/>
            <a:t>Variable Costs</a:t>
          </a:r>
          <a:r>
            <a:rPr lang="en-GB"/>
            <a:t>: Reimbursed expenses and direct operating costs vary with revenue, particularly in managed and franchised properties </a:t>
          </a:r>
        </a:p>
      </dgm:t>
    </dgm:pt>
    <dgm:pt modelId="{2DDCB587-EE46-464E-9A4A-C85453EA06F7}" type="parTrans" cxnId="{DC0FFED5-6260-401C-BEF1-83279A7127A6}">
      <dgm:prSet/>
      <dgm:spPr/>
      <dgm:t>
        <a:bodyPr/>
        <a:lstStyle/>
        <a:p>
          <a:endParaRPr lang="en-GB"/>
        </a:p>
      </dgm:t>
    </dgm:pt>
    <dgm:pt modelId="{0D2F0F45-4CD8-4813-8FF2-7932BFD16729}" type="sibTrans" cxnId="{DC0FFED5-6260-401C-BEF1-83279A7127A6}">
      <dgm:prSet/>
      <dgm:spPr/>
      <dgm:t>
        <a:bodyPr/>
        <a:lstStyle/>
        <a:p>
          <a:endParaRPr lang="en-GB"/>
        </a:p>
      </dgm:t>
    </dgm:pt>
    <dgm:pt modelId="{B7634C99-E2EF-4FB3-B914-939A8D066BD9}">
      <dgm:prSet/>
      <dgm:spPr/>
      <dgm:t>
        <a:bodyPr/>
        <a:lstStyle/>
        <a:p>
          <a:pPr>
            <a:buNone/>
          </a:pPr>
          <a:r>
            <a:rPr lang="en-GB" b="1"/>
            <a:t>Performance Commentary</a:t>
          </a:r>
          <a:endParaRPr lang="en-GB"/>
        </a:p>
      </dgm:t>
    </dgm:pt>
    <dgm:pt modelId="{5B97A4ED-19A5-41DB-BF85-2C9D00733157}" type="parTrans" cxnId="{C7C8A878-48A0-4208-8622-063BC584AC90}">
      <dgm:prSet/>
      <dgm:spPr/>
      <dgm:t>
        <a:bodyPr/>
        <a:lstStyle/>
        <a:p>
          <a:endParaRPr lang="en-GB"/>
        </a:p>
      </dgm:t>
    </dgm:pt>
    <dgm:pt modelId="{8F73731E-F432-45EA-8E2C-3EDB6EDC76FD}" type="sibTrans" cxnId="{C7C8A878-48A0-4208-8622-063BC584AC90}">
      <dgm:prSet/>
      <dgm:spPr/>
      <dgm:t>
        <a:bodyPr/>
        <a:lstStyle/>
        <a:p>
          <a:endParaRPr lang="en-GB"/>
        </a:p>
      </dgm:t>
    </dgm:pt>
    <dgm:pt modelId="{1333A815-F78F-4CC1-896E-DD18267927E1}">
      <dgm:prSet/>
      <dgm:spPr/>
      <dgm:t>
        <a:bodyPr/>
        <a:lstStyle/>
        <a:p>
          <a:pPr>
            <a:buNone/>
          </a:pPr>
          <a:r>
            <a:rPr lang="en-GB"/>
            <a:t>Marriott demonstrated solid revenue growth in 2024, driven by increases in management and franchise fees, reflecting higher ADR and occupancy rates. The slight decline in owned and leased revenue suggests a strategic shift towards asset-light models. Cost structures remained stable, with variable costs aligning with revenue growth, maintaining healthy operating margins</a:t>
          </a:r>
        </a:p>
      </dgm:t>
    </dgm:pt>
    <dgm:pt modelId="{0DA03D5A-C63F-4869-A84C-44B41EE54273}" type="parTrans" cxnId="{84C679AE-C7F0-42DE-A9E3-2DC2F2F0A38C}">
      <dgm:prSet/>
      <dgm:spPr/>
      <dgm:t>
        <a:bodyPr/>
        <a:lstStyle/>
        <a:p>
          <a:endParaRPr lang="en-GB"/>
        </a:p>
      </dgm:t>
    </dgm:pt>
    <dgm:pt modelId="{514D051D-37A9-4280-9272-DDDC1098B288}" type="sibTrans" cxnId="{84C679AE-C7F0-42DE-A9E3-2DC2F2F0A38C}">
      <dgm:prSet/>
      <dgm:spPr/>
      <dgm:t>
        <a:bodyPr/>
        <a:lstStyle/>
        <a:p>
          <a:endParaRPr lang="en-GB"/>
        </a:p>
      </dgm:t>
    </dgm:pt>
    <dgm:pt modelId="{3B125DA3-1D47-403E-9728-3A0A381B8B0A}" type="pres">
      <dgm:prSet presAssocID="{3F994851-9443-4E98-BC35-32D8ECDC07DE}" presName="diagram" presStyleCnt="0">
        <dgm:presLayoutVars>
          <dgm:dir/>
          <dgm:resizeHandles val="exact"/>
        </dgm:presLayoutVars>
      </dgm:prSet>
      <dgm:spPr/>
    </dgm:pt>
    <dgm:pt modelId="{1D214249-E90A-438C-84DE-13B4C7981BE4}" type="pres">
      <dgm:prSet presAssocID="{8239BC94-9BF2-492B-BC3E-8BB5BF5CF998}" presName="node" presStyleLbl="node1" presStyleIdx="0" presStyleCnt="12">
        <dgm:presLayoutVars>
          <dgm:bulletEnabled val="1"/>
        </dgm:presLayoutVars>
      </dgm:prSet>
      <dgm:spPr/>
    </dgm:pt>
    <dgm:pt modelId="{FF964F3A-D468-4A0B-933B-26B97D11DC34}" type="pres">
      <dgm:prSet presAssocID="{1D632968-6C6B-415B-A9B1-525587CB35B5}" presName="sibTrans" presStyleCnt="0"/>
      <dgm:spPr/>
    </dgm:pt>
    <dgm:pt modelId="{597C722C-F7CC-44E6-9343-CA8A4E14A09B}" type="pres">
      <dgm:prSet presAssocID="{4F11A33E-CC8B-46BB-B64A-09B634A6DB68}" presName="node" presStyleLbl="node1" presStyleIdx="1" presStyleCnt="12">
        <dgm:presLayoutVars>
          <dgm:bulletEnabled val="1"/>
        </dgm:presLayoutVars>
      </dgm:prSet>
      <dgm:spPr/>
    </dgm:pt>
    <dgm:pt modelId="{BAF015E5-874F-4678-B9EA-06403E3C7E44}" type="pres">
      <dgm:prSet presAssocID="{B7F609D0-00BA-4C48-A326-34D35AE81FA6}" presName="sibTrans" presStyleCnt="0"/>
      <dgm:spPr/>
    </dgm:pt>
    <dgm:pt modelId="{2AC9A3AF-28F0-4028-A0CD-4B536FBCB116}" type="pres">
      <dgm:prSet presAssocID="{1C64E95A-DF27-4384-BAE5-0B4F691FFCC1}" presName="node" presStyleLbl="node1" presStyleIdx="2" presStyleCnt="12">
        <dgm:presLayoutVars>
          <dgm:bulletEnabled val="1"/>
        </dgm:presLayoutVars>
      </dgm:prSet>
      <dgm:spPr/>
    </dgm:pt>
    <dgm:pt modelId="{29517D3C-6FE2-4109-8A70-3CC5788291A9}" type="pres">
      <dgm:prSet presAssocID="{D96A30CE-AE43-4CC4-82FA-8B3C2D1A649C}" presName="sibTrans" presStyleCnt="0"/>
      <dgm:spPr/>
    </dgm:pt>
    <dgm:pt modelId="{9F60BDD3-7FD2-426F-9993-5075548488C5}" type="pres">
      <dgm:prSet presAssocID="{DD111EBC-2DE1-461A-B53C-2AC06123D4FB}" presName="node" presStyleLbl="node1" presStyleIdx="3" presStyleCnt="12">
        <dgm:presLayoutVars>
          <dgm:bulletEnabled val="1"/>
        </dgm:presLayoutVars>
      </dgm:prSet>
      <dgm:spPr/>
    </dgm:pt>
    <dgm:pt modelId="{F764BE1E-F173-4B36-8E60-B90A36F9F522}" type="pres">
      <dgm:prSet presAssocID="{E13B28E5-848E-4644-BDB2-6FE3B6047628}" presName="sibTrans" presStyleCnt="0"/>
      <dgm:spPr/>
    </dgm:pt>
    <dgm:pt modelId="{673C0BDE-117F-4A52-8FB6-482288BF4E08}" type="pres">
      <dgm:prSet presAssocID="{D77DAAAB-E393-4153-97E5-CA37FE853699}" presName="node" presStyleLbl="node1" presStyleIdx="4" presStyleCnt="12">
        <dgm:presLayoutVars>
          <dgm:bulletEnabled val="1"/>
        </dgm:presLayoutVars>
      </dgm:prSet>
      <dgm:spPr/>
    </dgm:pt>
    <dgm:pt modelId="{F3CD9EB4-BC2E-4579-BD1E-A28526146D3A}" type="pres">
      <dgm:prSet presAssocID="{F3C5FFFD-BB61-4ADA-ADE2-89C66638137C}" presName="sibTrans" presStyleCnt="0"/>
      <dgm:spPr/>
    </dgm:pt>
    <dgm:pt modelId="{B8B50C46-7524-44C3-B0DF-62CB6ABB6743}" type="pres">
      <dgm:prSet presAssocID="{3E6DDE0A-15E9-4AC9-BCE3-1F89A8234353}" presName="node" presStyleLbl="node1" presStyleIdx="5" presStyleCnt="12">
        <dgm:presLayoutVars>
          <dgm:bulletEnabled val="1"/>
        </dgm:presLayoutVars>
      </dgm:prSet>
      <dgm:spPr/>
    </dgm:pt>
    <dgm:pt modelId="{8ECBA2D9-62FE-4F1C-A9A6-6717FAD06057}" type="pres">
      <dgm:prSet presAssocID="{12971ABF-B280-4662-9C20-EE2A62948966}" presName="sibTrans" presStyleCnt="0"/>
      <dgm:spPr/>
    </dgm:pt>
    <dgm:pt modelId="{A5B59004-1DD5-4991-AB1B-139EDBE691A8}" type="pres">
      <dgm:prSet presAssocID="{644AC3EE-3EB0-4182-B131-F84E17BC378C}" presName="node" presStyleLbl="node1" presStyleIdx="6" presStyleCnt="12">
        <dgm:presLayoutVars>
          <dgm:bulletEnabled val="1"/>
        </dgm:presLayoutVars>
      </dgm:prSet>
      <dgm:spPr/>
    </dgm:pt>
    <dgm:pt modelId="{8A78A1B7-CFD6-4EA4-B3CB-8CFC353FAC23}" type="pres">
      <dgm:prSet presAssocID="{C93E489F-80F5-4863-B31F-D6ED83353BE8}" presName="sibTrans" presStyleCnt="0"/>
      <dgm:spPr/>
    </dgm:pt>
    <dgm:pt modelId="{4A6F22F1-CCB7-4071-9910-C78E095531EE}" type="pres">
      <dgm:prSet presAssocID="{BA7A0B4E-A6F0-4B06-AE66-EA83878146A7}" presName="node" presStyleLbl="node1" presStyleIdx="7" presStyleCnt="12">
        <dgm:presLayoutVars>
          <dgm:bulletEnabled val="1"/>
        </dgm:presLayoutVars>
      </dgm:prSet>
      <dgm:spPr/>
    </dgm:pt>
    <dgm:pt modelId="{F2D9C674-CDBB-439F-BA5F-455C7504BDA5}" type="pres">
      <dgm:prSet presAssocID="{23ED659A-BDD6-447B-9533-DCDE582DDBC7}" presName="sibTrans" presStyleCnt="0"/>
      <dgm:spPr/>
    </dgm:pt>
    <dgm:pt modelId="{AD8D5C50-1F52-4B1F-820D-A0B611FF68C3}" type="pres">
      <dgm:prSet presAssocID="{0E166D13-A345-4B43-A7DE-9CCAAE5C308B}" presName="node" presStyleLbl="node1" presStyleIdx="8" presStyleCnt="12">
        <dgm:presLayoutVars>
          <dgm:bulletEnabled val="1"/>
        </dgm:presLayoutVars>
      </dgm:prSet>
      <dgm:spPr/>
    </dgm:pt>
    <dgm:pt modelId="{A7E0E735-A0EF-4178-8C4B-A641DF2A8BEC}" type="pres">
      <dgm:prSet presAssocID="{740BA168-126C-4528-B11F-BD8D4C63581A}" presName="sibTrans" presStyleCnt="0"/>
      <dgm:spPr/>
    </dgm:pt>
    <dgm:pt modelId="{D468836B-6942-4DE0-9568-F0EB5A670DFE}" type="pres">
      <dgm:prSet presAssocID="{75055117-BE20-43F1-874E-4C7E132A2CEA}" presName="node" presStyleLbl="node1" presStyleIdx="9" presStyleCnt="12">
        <dgm:presLayoutVars>
          <dgm:bulletEnabled val="1"/>
        </dgm:presLayoutVars>
      </dgm:prSet>
      <dgm:spPr/>
    </dgm:pt>
    <dgm:pt modelId="{0768DE79-BCDE-47B7-9C4A-5DFDA624F32F}" type="pres">
      <dgm:prSet presAssocID="{46288C15-0378-4D40-ACF5-1727EA1AE427}" presName="sibTrans" presStyleCnt="0"/>
      <dgm:spPr/>
    </dgm:pt>
    <dgm:pt modelId="{F94BA3E8-A489-4B1F-8D12-608567A407EA}" type="pres">
      <dgm:prSet presAssocID="{B7634C99-E2EF-4FB3-B914-939A8D066BD9}" presName="node" presStyleLbl="node1" presStyleIdx="10" presStyleCnt="12" custLinFactNeighborX="-2597" custLinFactNeighborY="13847">
        <dgm:presLayoutVars>
          <dgm:bulletEnabled val="1"/>
        </dgm:presLayoutVars>
      </dgm:prSet>
      <dgm:spPr/>
    </dgm:pt>
    <dgm:pt modelId="{3995324E-BF83-4146-A188-E543860B7ED5}" type="pres">
      <dgm:prSet presAssocID="{8F73731E-F432-45EA-8E2C-3EDB6EDC76FD}" presName="sibTrans" presStyleCnt="0"/>
      <dgm:spPr/>
    </dgm:pt>
    <dgm:pt modelId="{AB1B18C9-09D7-4127-B9CC-7A64F84BB6C5}" type="pres">
      <dgm:prSet presAssocID="{1333A815-F78F-4CC1-896E-DD18267927E1}" presName="node" presStyleLbl="node1" presStyleIdx="11" presStyleCnt="12">
        <dgm:presLayoutVars>
          <dgm:bulletEnabled val="1"/>
        </dgm:presLayoutVars>
      </dgm:prSet>
      <dgm:spPr/>
    </dgm:pt>
  </dgm:ptLst>
  <dgm:cxnLst>
    <dgm:cxn modelId="{85F83401-3686-4814-B4E8-ACBF5CEBE437}" srcId="{3E6DDE0A-15E9-4AC9-BCE3-1F89A8234353}" destId="{A13F7BCF-2E91-440C-AF83-A1213A48CDE3}" srcOrd="2" destOrd="0" parTransId="{074EF5D7-78CB-4D9C-BDFD-9AF126A80837}" sibTransId="{EB974D62-570E-42CA-A36F-338F7FB7ACD9}"/>
    <dgm:cxn modelId="{C5604603-697B-4357-A332-C41A26D1965C}" type="presOf" srcId="{657178F4-88ED-48E3-B60E-05A0189767DC}" destId="{B8B50C46-7524-44C3-B0DF-62CB6ABB6743}" srcOrd="0" destOrd="2" presId="urn:microsoft.com/office/officeart/2005/8/layout/default"/>
    <dgm:cxn modelId="{B30BF805-3FDB-4A32-AF26-86611A963A4C}" type="presOf" srcId="{8239BC94-9BF2-492B-BC3E-8BB5BF5CF998}" destId="{1D214249-E90A-438C-84DE-13B4C7981BE4}" srcOrd="0" destOrd="0" presId="urn:microsoft.com/office/officeart/2005/8/layout/default"/>
    <dgm:cxn modelId="{3C2F5506-142A-463C-9627-B4B121F4E82B}" type="presOf" srcId="{3E6DDE0A-15E9-4AC9-BCE3-1F89A8234353}" destId="{B8B50C46-7524-44C3-B0DF-62CB6ABB6743}" srcOrd="0" destOrd="0" presId="urn:microsoft.com/office/officeart/2005/8/layout/default"/>
    <dgm:cxn modelId="{64D4620C-B2B9-470F-A46B-6AB9697E8A9E}" type="presOf" srcId="{644AC3EE-3EB0-4182-B131-F84E17BC378C}" destId="{A5B59004-1DD5-4991-AB1B-139EDBE691A8}" srcOrd="0" destOrd="0" presId="urn:microsoft.com/office/officeart/2005/8/layout/default"/>
    <dgm:cxn modelId="{4C85660C-A5B6-4904-A977-6293FAAE262A}" type="presOf" srcId="{0E166D13-A345-4B43-A7DE-9CCAAE5C308B}" destId="{AD8D5C50-1F52-4B1F-820D-A0B611FF68C3}" srcOrd="0" destOrd="0" presId="urn:microsoft.com/office/officeart/2005/8/layout/default"/>
    <dgm:cxn modelId="{C80E380D-8824-4810-9875-A8D9597040AD}" srcId="{3F994851-9443-4E98-BC35-32D8ECDC07DE}" destId="{75055117-BE20-43F1-874E-4C7E132A2CEA}" srcOrd="9" destOrd="0" parTransId="{9B815452-304E-4116-A1FF-A0E57DEE852C}" sibTransId="{46288C15-0378-4D40-ACF5-1727EA1AE427}"/>
    <dgm:cxn modelId="{FA64850F-CC0F-4B80-8493-190710E86B71}" srcId="{1C64E95A-DF27-4384-BAE5-0B4F691FFCC1}" destId="{656FBD9A-7D88-4AA5-9206-7C3B54277082}" srcOrd="1" destOrd="0" parTransId="{D5F6B320-165A-40BE-A171-4DD1F6B8B7CD}" sibTransId="{EE6BB107-580F-4B3C-AC25-BB292696AACA}"/>
    <dgm:cxn modelId="{91FD9F1B-34CB-4FB6-A7C4-EF4551EEF3E1}" type="presOf" srcId="{B61F2BF1-F0F5-49CE-A301-A380E86A2CAE}" destId="{2AC9A3AF-28F0-4028-A0CD-4B536FBCB116}" srcOrd="0" destOrd="4" presId="urn:microsoft.com/office/officeart/2005/8/layout/default"/>
    <dgm:cxn modelId="{693F1520-59DE-42E3-9AC6-A01C20AC010E}" type="presOf" srcId="{4F11A33E-CC8B-46BB-B64A-09B634A6DB68}" destId="{597C722C-F7CC-44E6-9343-CA8A4E14A09B}" srcOrd="0" destOrd="0" presId="urn:microsoft.com/office/officeart/2005/8/layout/default"/>
    <dgm:cxn modelId="{F3BAA221-CD7B-4CD2-9D66-63039CB72401}" type="presOf" srcId="{BA7A0B4E-A6F0-4B06-AE66-EA83878146A7}" destId="{4A6F22F1-CCB7-4071-9910-C78E095531EE}" srcOrd="0" destOrd="0" presId="urn:microsoft.com/office/officeart/2005/8/layout/default"/>
    <dgm:cxn modelId="{41389C2A-1346-4D0A-9858-5BD8A655885B}" type="presOf" srcId="{656FBD9A-7D88-4AA5-9206-7C3B54277082}" destId="{2AC9A3AF-28F0-4028-A0CD-4B536FBCB116}" srcOrd="0" destOrd="2" presId="urn:microsoft.com/office/officeart/2005/8/layout/default"/>
    <dgm:cxn modelId="{7CCBD331-8214-4DBF-9CC5-9F99DD59197E}" type="presOf" srcId="{1C64E95A-DF27-4384-BAE5-0B4F691FFCC1}" destId="{2AC9A3AF-28F0-4028-A0CD-4B536FBCB116}" srcOrd="0" destOrd="0" presId="urn:microsoft.com/office/officeart/2005/8/layout/default"/>
    <dgm:cxn modelId="{36EE6738-8FDB-48C6-A1F7-87AF1F1AF691}" type="presOf" srcId="{1333A815-F78F-4CC1-896E-DD18267927E1}" destId="{AB1B18C9-09D7-4127-B9CC-7A64F84BB6C5}" srcOrd="0" destOrd="0" presId="urn:microsoft.com/office/officeart/2005/8/layout/default"/>
    <dgm:cxn modelId="{849BA539-9981-4B42-B617-12097625F2FB}" srcId="{3F994851-9443-4E98-BC35-32D8ECDC07DE}" destId="{1C64E95A-DF27-4384-BAE5-0B4F691FFCC1}" srcOrd="2" destOrd="0" parTransId="{668AC1F1-F5DE-4E54-A095-EB4FDAA9F5F6}" sibTransId="{D96A30CE-AE43-4CC4-82FA-8B3C2D1A649C}"/>
    <dgm:cxn modelId="{42836F3F-C098-4E0D-955A-1630A4E14D29}" srcId="{DD111EBC-2DE1-461A-B53C-2AC06123D4FB}" destId="{CDD32389-36D4-4693-8A5C-BB4FF696E611}" srcOrd="0" destOrd="0" parTransId="{B2C54180-FA2B-4B31-899C-05A5B6840E8F}" sibTransId="{6597D0B9-9040-4FBB-9CC5-6ABC8DBD159A}"/>
    <dgm:cxn modelId="{CFFF7F67-203F-47DF-9DB0-4860C4C24CE0}" srcId="{3F994851-9443-4E98-BC35-32D8ECDC07DE}" destId="{D77DAAAB-E393-4153-97E5-CA37FE853699}" srcOrd="4" destOrd="0" parTransId="{93160C06-FCEF-454C-A2C2-0FE7BA74B71F}" sibTransId="{F3C5FFFD-BB61-4ADA-ADE2-89C66638137C}"/>
    <dgm:cxn modelId="{40009067-C605-4519-83A8-48A39B0C315E}" srcId="{3F994851-9443-4E98-BC35-32D8ECDC07DE}" destId="{BA7A0B4E-A6F0-4B06-AE66-EA83878146A7}" srcOrd="7" destOrd="0" parTransId="{87651222-9342-4D74-A505-3B861A3C77DB}" sibTransId="{23ED659A-BDD6-447B-9533-DCDE582DDBC7}"/>
    <dgm:cxn modelId="{E19A004C-87FF-46F4-A595-B7CF6FAECFC1}" type="presOf" srcId="{D77DAAAB-E393-4153-97E5-CA37FE853699}" destId="{673C0BDE-117F-4A52-8FB6-482288BF4E08}" srcOrd="0" destOrd="0" presId="urn:microsoft.com/office/officeart/2005/8/layout/default"/>
    <dgm:cxn modelId="{648ADD6D-E0F9-4A92-87CD-E94390D45AEC}" type="presOf" srcId="{03F58661-5F5C-4699-BF8D-1E1EE722095F}" destId="{2AC9A3AF-28F0-4028-A0CD-4B536FBCB116}" srcOrd="0" destOrd="3" presId="urn:microsoft.com/office/officeart/2005/8/layout/default"/>
    <dgm:cxn modelId="{F371984F-136C-44D6-9DCD-D84F66C467A2}" srcId="{3F994851-9443-4E98-BC35-32D8ECDC07DE}" destId="{4F11A33E-CC8B-46BB-B64A-09B634A6DB68}" srcOrd="1" destOrd="0" parTransId="{F7FB6094-6901-4F85-B249-8DF7FD4642D7}" sibTransId="{B7F609D0-00BA-4C48-A326-34D35AE81FA6}"/>
    <dgm:cxn modelId="{F5F2CD72-B8F1-47AA-B40A-3C84F37FD3AD}" type="presOf" srcId="{CDD32389-36D4-4693-8A5C-BB4FF696E611}" destId="{9F60BDD3-7FD2-426F-9993-5075548488C5}" srcOrd="0" destOrd="1" presId="urn:microsoft.com/office/officeart/2005/8/layout/default"/>
    <dgm:cxn modelId="{E193F952-F845-40D1-B0A0-05E299F66055}" type="presOf" srcId="{18A1CE53-0B99-415F-8991-09904E14959C}" destId="{B8B50C46-7524-44C3-B0DF-62CB6ABB6743}" srcOrd="0" destOrd="1" presId="urn:microsoft.com/office/officeart/2005/8/layout/default"/>
    <dgm:cxn modelId="{80654A57-4A8B-4C72-8B82-140EC878CC08}" srcId="{3F994851-9443-4E98-BC35-32D8ECDC07DE}" destId="{3E6DDE0A-15E9-4AC9-BCE3-1F89A8234353}" srcOrd="5" destOrd="0" parTransId="{A4E154A8-B0D0-4A3C-A66F-768A41D83A61}" sibTransId="{12971ABF-B280-4662-9C20-EE2A62948966}"/>
    <dgm:cxn modelId="{A41E5477-FDA9-4591-AD44-BECA5E8468DD}" type="presOf" srcId="{C4218B23-18B1-44C1-8DB4-EBA274270E8A}" destId="{D468836B-6942-4DE0-9568-F0EB5A670DFE}" srcOrd="0" destOrd="1" presId="urn:microsoft.com/office/officeart/2005/8/layout/default"/>
    <dgm:cxn modelId="{8A955E58-F8DA-40C6-ADE5-7A4A5B6A89BC}" srcId="{1C64E95A-DF27-4384-BAE5-0B4F691FFCC1}" destId="{B61F2BF1-F0F5-49CE-A301-A380E86A2CAE}" srcOrd="3" destOrd="0" parTransId="{E240F857-DB73-4626-83A5-63B4676D81A6}" sibTransId="{5ECCA183-F35E-4569-8460-351CABC94262}"/>
    <dgm:cxn modelId="{C7C8A878-48A0-4208-8622-063BC584AC90}" srcId="{3F994851-9443-4E98-BC35-32D8ECDC07DE}" destId="{B7634C99-E2EF-4FB3-B914-939A8D066BD9}" srcOrd="10" destOrd="0" parTransId="{5B97A4ED-19A5-41DB-BF85-2C9D00733157}" sibTransId="{8F73731E-F432-45EA-8E2C-3EDB6EDC76FD}"/>
    <dgm:cxn modelId="{FE6A647B-D6FB-4F17-9575-B27624675651}" srcId="{3F994851-9443-4E98-BC35-32D8ECDC07DE}" destId="{644AC3EE-3EB0-4182-B131-F84E17BC378C}" srcOrd="6" destOrd="0" parTransId="{069D727C-84E8-4B36-AB94-11A7564E4DA6}" sibTransId="{C93E489F-80F5-4863-B31F-D6ED83353BE8}"/>
    <dgm:cxn modelId="{9815897C-D9CE-4AB4-8DA6-A0E0BAA4F353}" type="presOf" srcId="{D6489D2F-4A41-4389-910E-C795B35775CE}" destId="{2AC9A3AF-28F0-4028-A0CD-4B536FBCB116}" srcOrd="0" destOrd="5" presId="urn:microsoft.com/office/officeart/2005/8/layout/default"/>
    <dgm:cxn modelId="{732BDB7C-D96D-4422-AE8B-32ECA641B35D}" srcId="{3E6DDE0A-15E9-4AC9-BCE3-1F89A8234353}" destId="{657178F4-88ED-48E3-B60E-05A0189767DC}" srcOrd="1" destOrd="0" parTransId="{A2FC279F-2E86-4A83-A089-9C7845EFE144}" sibTransId="{06E4F7F6-791A-4189-95DD-A553E6637EC0}"/>
    <dgm:cxn modelId="{FF7EC98C-C2EE-4B16-BE18-5C8D4D015F5E}" type="presOf" srcId="{960D008D-73D4-48B3-8863-3A932C2BF70A}" destId="{2AC9A3AF-28F0-4028-A0CD-4B536FBCB116}" srcOrd="0" destOrd="1" presId="urn:microsoft.com/office/officeart/2005/8/layout/default"/>
    <dgm:cxn modelId="{5B248591-AF0C-4972-B161-A047E2CA1295}" type="presOf" srcId="{75055117-BE20-43F1-874E-4C7E132A2CEA}" destId="{D468836B-6942-4DE0-9568-F0EB5A670DFE}" srcOrd="0" destOrd="0" presId="urn:microsoft.com/office/officeart/2005/8/layout/default"/>
    <dgm:cxn modelId="{D852FC95-EE91-417B-B0A4-C614BCE4E76F}" srcId="{1C64E95A-DF27-4384-BAE5-0B4F691FFCC1}" destId="{960D008D-73D4-48B3-8863-3A932C2BF70A}" srcOrd="0" destOrd="0" parTransId="{FBEBA896-D950-4434-B1A1-2B0F75911B7D}" sibTransId="{32ACFA1D-4194-43F3-B528-FBB7018C938E}"/>
    <dgm:cxn modelId="{8CA3FC9D-F548-48A4-B483-BD8D7FA35CDE}" srcId="{1C64E95A-DF27-4384-BAE5-0B4F691FFCC1}" destId="{D6489D2F-4A41-4389-910E-C795B35775CE}" srcOrd="4" destOrd="0" parTransId="{B4E78ED7-C785-404B-8DEA-589C35A222A6}" sibTransId="{0DEDE333-8E13-4A97-B897-1B19D4FDDD4B}"/>
    <dgm:cxn modelId="{6F92CEA5-C308-4D9B-B0BE-9F34DE8FC089}" type="presOf" srcId="{3F994851-9443-4E98-BC35-32D8ECDC07DE}" destId="{3B125DA3-1D47-403E-9728-3A0A381B8B0A}" srcOrd="0" destOrd="0" presId="urn:microsoft.com/office/officeart/2005/8/layout/default"/>
    <dgm:cxn modelId="{B869A3A9-D38E-4354-8F40-4995145AD552}" srcId="{3F994851-9443-4E98-BC35-32D8ECDC07DE}" destId="{DD111EBC-2DE1-461A-B53C-2AC06123D4FB}" srcOrd="3" destOrd="0" parTransId="{74BC2813-F059-4031-B0F5-EB4C310DE88B}" sibTransId="{E13B28E5-848E-4644-BDB2-6FE3B6047628}"/>
    <dgm:cxn modelId="{84C679AE-C7F0-42DE-A9E3-2DC2F2F0A38C}" srcId="{3F994851-9443-4E98-BC35-32D8ECDC07DE}" destId="{1333A815-F78F-4CC1-896E-DD18267927E1}" srcOrd="11" destOrd="0" parTransId="{0DA03D5A-C63F-4869-A84C-44B41EE54273}" sibTransId="{514D051D-37A9-4280-9272-DDDC1098B288}"/>
    <dgm:cxn modelId="{936DC3B0-30AF-4507-86F4-0E9ED11F1F87}" srcId="{3F994851-9443-4E98-BC35-32D8ECDC07DE}" destId="{8239BC94-9BF2-492B-BC3E-8BB5BF5CF998}" srcOrd="0" destOrd="0" parTransId="{C7C27B3B-A62F-4716-AEE6-F534C5B6DB04}" sibTransId="{1D632968-6C6B-415B-A9B1-525587CB35B5}"/>
    <dgm:cxn modelId="{01EA0BBC-2D00-472E-921A-02856509157A}" srcId="{3E6DDE0A-15E9-4AC9-BCE3-1F89A8234353}" destId="{18A1CE53-0B99-415F-8991-09904E14959C}" srcOrd="0" destOrd="0" parTransId="{363E0664-4883-4AD9-A868-26868AA085E3}" sibTransId="{829B4C4F-01F6-4960-9CA1-D8540A5517CC}"/>
    <dgm:cxn modelId="{731DDBC8-6D98-4F1A-BA97-3CC269ABEF2F}" type="presOf" srcId="{81BA839D-C57A-4B42-B9B7-39A42DE80FDF}" destId="{D468836B-6942-4DE0-9568-F0EB5A670DFE}" srcOrd="0" destOrd="2" presId="urn:microsoft.com/office/officeart/2005/8/layout/default"/>
    <dgm:cxn modelId="{CF2048D1-66F2-4CB9-9CEA-CC6036B3F736}" type="presOf" srcId="{DD111EBC-2DE1-461A-B53C-2AC06123D4FB}" destId="{9F60BDD3-7FD2-426F-9993-5075548488C5}" srcOrd="0" destOrd="0" presId="urn:microsoft.com/office/officeart/2005/8/layout/default"/>
    <dgm:cxn modelId="{2E96ACD2-5158-4916-8B4A-48E7308672A1}" srcId="{DD111EBC-2DE1-461A-B53C-2AC06123D4FB}" destId="{A1DAF335-1047-4881-8473-3CA8B42E911B}" srcOrd="1" destOrd="0" parTransId="{FFD02D9D-1EA6-4C8B-90B9-536D23B51BCF}" sibTransId="{61689117-AC83-4070-AB67-A60913AAD518}"/>
    <dgm:cxn modelId="{DC0FFED5-6260-401C-BEF1-83279A7127A6}" srcId="{75055117-BE20-43F1-874E-4C7E132A2CEA}" destId="{81BA839D-C57A-4B42-B9B7-39A42DE80FDF}" srcOrd="1" destOrd="0" parTransId="{2DDCB587-EE46-464E-9A4A-C85453EA06F7}" sibTransId="{0D2F0F45-4CD8-4813-8FF2-7932BFD16729}"/>
    <dgm:cxn modelId="{AC5545D9-9ADA-42C3-9289-4D17BD179EC8}" type="presOf" srcId="{A13F7BCF-2E91-440C-AF83-A1213A48CDE3}" destId="{B8B50C46-7524-44C3-B0DF-62CB6ABB6743}" srcOrd="0" destOrd="3" presId="urn:microsoft.com/office/officeart/2005/8/layout/default"/>
    <dgm:cxn modelId="{F019CBE6-C0E8-43E3-AE22-9E4325CFD0B6}" srcId="{3F994851-9443-4E98-BC35-32D8ECDC07DE}" destId="{0E166D13-A345-4B43-A7DE-9CCAAE5C308B}" srcOrd="8" destOrd="0" parTransId="{EB3173BE-0B4E-4598-BCC1-77BAD4D5445A}" sibTransId="{740BA168-126C-4528-B11F-BD8D4C63581A}"/>
    <dgm:cxn modelId="{B572AFE9-E39A-4671-8341-F824CA955704}" srcId="{1C64E95A-DF27-4384-BAE5-0B4F691FFCC1}" destId="{03F58661-5F5C-4699-BF8D-1E1EE722095F}" srcOrd="2" destOrd="0" parTransId="{8EA1F51B-AE2B-4DFD-80BE-5C11C05D90A4}" sibTransId="{A4452A67-778B-47BF-BFA8-7D83DD7BCAB2}"/>
    <dgm:cxn modelId="{272C20F3-5848-4922-B203-740D0115229B}" srcId="{DD111EBC-2DE1-461A-B53C-2AC06123D4FB}" destId="{D8F803AF-A606-43CF-86C5-5602D5DCED50}" srcOrd="2" destOrd="0" parTransId="{697315DF-1773-4ED6-98F0-64C3682E68BB}" sibTransId="{B6012121-9924-4992-A2FE-97C50DDA444C}"/>
    <dgm:cxn modelId="{4070E7F3-5750-4AE3-9779-90A501CAA820}" srcId="{75055117-BE20-43F1-874E-4C7E132A2CEA}" destId="{C4218B23-18B1-44C1-8DB4-EBA274270E8A}" srcOrd="0" destOrd="0" parTransId="{8DA10890-4535-4843-ABA6-3164F70DE8CF}" sibTransId="{0B78014C-4ACE-4764-9DDD-54537EBBD6E0}"/>
    <dgm:cxn modelId="{D8591FFB-5F8C-4A99-9E5C-A94C6847E887}" type="presOf" srcId="{D8F803AF-A606-43CF-86C5-5602D5DCED50}" destId="{9F60BDD3-7FD2-426F-9993-5075548488C5}" srcOrd="0" destOrd="3" presId="urn:microsoft.com/office/officeart/2005/8/layout/default"/>
    <dgm:cxn modelId="{1A0102FC-47E4-48C1-A56D-751613D17196}" type="presOf" srcId="{A1DAF335-1047-4881-8473-3CA8B42E911B}" destId="{9F60BDD3-7FD2-426F-9993-5075548488C5}" srcOrd="0" destOrd="2" presId="urn:microsoft.com/office/officeart/2005/8/layout/default"/>
    <dgm:cxn modelId="{17B566FC-8111-4758-AC2F-BF9B28A8F68B}" type="presOf" srcId="{B7634C99-E2EF-4FB3-B914-939A8D066BD9}" destId="{F94BA3E8-A489-4B1F-8D12-608567A407EA}" srcOrd="0" destOrd="0" presId="urn:microsoft.com/office/officeart/2005/8/layout/default"/>
    <dgm:cxn modelId="{2CFE0F4A-0AFC-4D5D-AF06-B043E76A56BF}" type="presParOf" srcId="{3B125DA3-1D47-403E-9728-3A0A381B8B0A}" destId="{1D214249-E90A-438C-84DE-13B4C7981BE4}" srcOrd="0" destOrd="0" presId="urn:microsoft.com/office/officeart/2005/8/layout/default"/>
    <dgm:cxn modelId="{91E50678-6A96-4F2B-AABA-3E7B3CE12667}" type="presParOf" srcId="{3B125DA3-1D47-403E-9728-3A0A381B8B0A}" destId="{FF964F3A-D468-4A0B-933B-26B97D11DC34}" srcOrd="1" destOrd="0" presId="urn:microsoft.com/office/officeart/2005/8/layout/default"/>
    <dgm:cxn modelId="{6C142B7A-07F9-40CA-8513-DB2BCE058393}" type="presParOf" srcId="{3B125DA3-1D47-403E-9728-3A0A381B8B0A}" destId="{597C722C-F7CC-44E6-9343-CA8A4E14A09B}" srcOrd="2" destOrd="0" presId="urn:microsoft.com/office/officeart/2005/8/layout/default"/>
    <dgm:cxn modelId="{9E2ED96A-D8A1-423F-92FF-F80CFC987933}" type="presParOf" srcId="{3B125DA3-1D47-403E-9728-3A0A381B8B0A}" destId="{BAF015E5-874F-4678-B9EA-06403E3C7E44}" srcOrd="3" destOrd="0" presId="urn:microsoft.com/office/officeart/2005/8/layout/default"/>
    <dgm:cxn modelId="{DBA45432-ED6D-4FD0-B163-B4FB6E413F9A}" type="presParOf" srcId="{3B125DA3-1D47-403E-9728-3A0A381B8B0A}" destId="{2AC9A3AF-28F0-4028-A0CD-4B536FBCB116}" srcOrd="4" destOrd="0" presId="urn:microsoft.com/office/officeart/2005/8/layout/default"/>
    <dgm:cxn modelId="{97CFDBE5-1064-4A7D-86F1-356A284D491F}" type="presParOf" srcId="{3B125DA3-1D47-403E-9728-3A0A381B8B0A}" destId="{29517D3C-6FE2-4109-8A70-3CC5788291A9}" srcOrd="5" destOrd="0" presId="urn:microsoft.com/office/officeart/2005/8/layout/default"/>
    <dgm:cxn modelId="{13FB501D-B361-4BBA-B2F2-002C79504DAE}" type="presParOf" srcId="{3B125DA3-1D47-403E-9728-3A0A381B8B0A}" destId="{9F60BDD3-7FD2-426F-9993-5075548488C5}" srcOrd="6" destOrd="0" presId="urn:microsoft.com/office/officeart/2005/8/layout/default"/>
    <dgm:cxn modelId="{D970C271-DA5D-406F-840D-2A55D3E74C4D}" type="presParOf" srcId="{3B125DA3-1D47-403E-9728-3A0A381B8B0A}" destId="{F764BE1E-F173-4B36-8E60-B90A36F9F522}" srcOrd="7" destOrd="0" presId="urn:microsoft.com/office/officeart/2005/8/layout/default"/>
    <dgm:cxn modelId="{D31E15AA-456E-4227-A31B-7A8F35A5F126}" type="presParOf" srcId="{3B125DA3-1D47-403E-9728-3A0A381B8B0A}" destId="{673C0BDE-117F-4A52-8FB6-482288BF4E08}" srcOrd="8" destOrd="0" presId="urn:microsoft.com/office/officeart/2005/8/layout/default"/>
    <dgm:cxn modelId="{D5A6EA3D-C0B9-4AC6-9953-C0154862DB6E}" type="presParOf" srcId="{3B125DA3-1D47-403E-9728-3A0A381B8B0A}" destId="{F3CD9EB4-BC2E-4579-BD1E-A28526146D3A}" srcOrd="9" destOrd="0" presId="urn:microsoft.com/office/officeart/2005/8/layout/default"/>
    <dgm:cxn modelId="{B48C331F-3A01-4786-9234-681E37C268E6}" type="presParOf" srcId="{3B125DA3-1D47-403E-9728-3A0A381B8B0A}" destId="{B8B50C46-7524-44C3-B0DF-62CB6ABB6743}" srcOrd="10" destOrd="0" presId="urn:microsoft.com/office/officeart/2005/8/layout/default"/>
    <dgm:cxn modelId="{A7C69D0D-4174-45A4-BE55-86A53BD2BB9D}" type="presParOf" srcId="{3B125DA3-1D47-403E-9728-3A0A381B8B0A}" destId="{8ECBA2D9-62FE-4F1C-A9A6-6717FAD06057}" srcOrd="11" destOrd="0" presId="urn:microsoft.com/office/officeart/2005/8/layout/default"/>
    <dgm:cxn modelId="{EA3243F7-AD11-4FBF-89C1-F2C5B714035C}" type="presParOf" srcId="{3B125DA3-1D47-403E-9728-3A0A381B8B0A}" destId="{A5B59004-1DD5-4991-AB1B-139EDBE691A8}" srcOrd="12" destOrd="0" presId="urn:microsoft.com/office/officeart/2005/8/layout/default"/>
    <dgm:cxn modelId="{A5F4C0CE-15BE-430C-82A5-8A6D0AD91570}" type="presParOf" srcId="{3B125DA3-1D47-403E-9728-3A0A381B8B0A}" destId="{8A78A1B7-CFD6-4EA4-B3CB-8CFC353FAC23}" srcOrd="13" destOrd="0" presId="urn:microsoft.com/office/officeart/2005/8/layout/default"/>
    <dgm:cxn modelId="{D020E31B-B9F4-488A-8657-65EC7D76F16E}" type="presParOf" srcId="{3B125DA3-1D47-403E-9728-3A0A381B8B0A}" destId="{4A6F22F1-CCB7-4071-9910-C78E095531EE}" srcOrd="14" destOrd="0" presId="urn:microsoft.com/office/officeart/2005/8/layout/default"/>
    <dgm:cxn modelId="{7A3F8A76-D6E6-48E6-BAAD-B6B57ABD924E}" type="presParOf" srcId="{3B125DA3-1D47-403E-9728-3A0A381B8B0A}" destId="{F2D9C674-CDBB-439F-BA5F-455C7504BDA5}" srcOrd="15" destOrd="0" presId="urn:microsoft.com/office/officeart/2005/8/layout/default"/>
    <dgm:cxn modelId="{2F4B49A4-E0BF-45DC-8828-E007D0B28701}" type="presParOf" srcId="{3B125DA3-1D47-403E-9728-3A0A381B8B0A}" destId="{AD8D5C50-1F52-4B1F-820D-A0B611FF68C3}" srcOrd="16" destOrd="0" presId="urn:microsoft.com/office/officeart/2005/8/layout/default"/>
    <dgm:cxn modelId="{2624600D-9648-4D4B-9202-D08D1D1CA5D2}" type="presParOf" srcId="{3B125DA3-1D47-403E-9728-3A0A381B8B0A}" destId="{A7E0E735-A0EF-4178-8C4B-A641DF2A8BEC}" srcOrd="17" destOrd="0" presId="urn:microsoft.com/office/officeart/2005/8/layout/default"/>
    <dgm:cxn modelId="{FFFBD386-A591-48BE-A634-0360C7473D2A}" type="presParOf" srcId="{3B125DA3-1D47-403E-9728-3A0A381B8B0A}" destId="{D468836B-6942-4DE0-9568-F0EB5A670DFE}" srcOrd="18" destOrd="0" presId="urn:microsoft.com/office/officeart/2005/8/layout/default"/>
    <dgm:cxn modelId="{71C7C30A-856A-4518-BDC6-746652DBC76D}" type="presParOf" srcId="{3B125DA3-1D47-403E-9728-3A0A381B8B0A}" destId="{0768DE79-BCDE-47B7-9C4A-5DFDA624F32F}" srcOrd="19" destOrd="0" presId="urn:microsoft.com/office/officeart/2005/8/layout/default"/>
    <dgm:cxn modelId="{4F6D9162-FFB7-49E8-8B01-EED3C2D2C000}" type="presParOf" srcId="{3B125DA3-1D47-403E-9728-3A0A381B8B0A}" destId="{F94BA3E8-A489-4B1F-8D12-608567A407EA}" srcOrd="20" destOrd="0" presId="urn:microsoft.com/office/officeart/2005/8/layout/default"/>
    <dgm:cxn modelId="{95EE129C-A4E9-436A-B3EE-EDC433311DC6}" type="presParOf" srcId="{3B125DA3-1D47-403E-9728-3A0A381B8B0A}" destId="{3995324E-BF83-4146-A188-E543860B7ED5}" srcOrd="21" destOrd="0" presId="urn:microsoft.com/office/officeart/2005/8/layout/default"/>
    <dgm:cxn modelId="{607A8033-4FE4-4B7D-B248-7D618BE02FDB}" type="presParOf" srcId="{3B125DA3-1D47-403E-9728-3A0A381B8B0A}" destId="{AB1B18C9-09D7-4127-B9CC-7A64F84BB6C5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214249-E90A-438C-84DE-13B4C7981BE4}">
      <dsp:nvSpPr>
        <dsp:cNvPr id="0" name=""/>
        <dsp:cNvSpPr/>
      </dsp:nvSpPr>
      <dsp:spPr>
        <a:xfrm>
          <a:off x="640278" y="1377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Marriott International, Inc.</a:t>
          </a:r>
          <a:endParaRPr lang="en-GB" sz="500" kern="1200"/>
        </a:p>
      </dsp:txBody>
      <dsp:txXfrm>
        <a:off x="640278" y="1377"/>
        <a:ext cx="1482997" cy="889798"/>
      </dsp:txXfrm>
    </dsp:sp>
    <dsp:sp modelId="{597C722C-F7CC-44E6-9343-CA8A4E14A09B}">
      <dsp:nvSpPr>
        <dsp:cNvPr id="0" name=""/>
        <dsp:cNvSpPr/>
      </dsp:nvSpPr>
      <dsp:spPr>
        <a:xfrm>
          <a:off x="2271576" y="1377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Revenue Drivers</a:t>
          </a:r>
          <a:endParaRPr lang="en-GB" sz="500" kern="1200"/>
        </a:p>
      </dsp:txBody>
      <dsp:txXfrm>
        <a:off x="2271576" y="1377"/>
        <a:ext cx="1482997" cy="889798"/>
      </dsp:txXfrm>
    </dsp:sp>
    <dsp:sp modelId="{2AC9A3AF-28F0-4028-A0CD-4B536FBCB116}">
      <dsp:nvSpPr>
        <dsp:cNvPr id="0" name=""/>
        <dsp:cNvSpPr/>
      </dsp:nvSpPr>
      <dsp:spPr>
        <a:xfrm>
          <a:off x="3902873" y="1377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Breakdown:</a:t>
          </a:r>
          <a:endParaRPr lang="en-GB" sz="500" kern="1200"/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Base Management Fees</a:t>
          </a:r>
          <a:r>
            <a:rPr lang="en-GB" sz="400" kern="1200"/>
            <a:t>: $1,288 million in 2024, up from $1,238 million in 2023.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Franchise Fees</a:t>
          </a:r>
          <a:r>
            <a:rPr lang="en-GB" sz="400" kern="1200"/>
            <a:t>: $3,113 million in 2024, up from $2,831 million in 2023.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Incentive Management Fees</a:t>
          </a:r>
          <a:r>
            <a:rPr lang="en-GB" sz="400" kern="1200"/>
            <a:t>: $769 million in 2024, up from $755 million in 2023.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Owned, Leased, and Other Revenue</a:t>
          </a:r>
          <a:r>
            <a:rPr lang="en-GB" sz="400" kern="1200"/>
            <a:t>: $1,551 million in 2024, slightly down from $1,564 million in 2023.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Cost Reimbursement Revenue</a:t>
          </a:r>
          <a:r>
            <a:rPr lang="en-GB" sz="400" kern="1200"/>
            <a:t>: $18,482 million in 2024, up from $17,413 million in 2023.SEC</a:t>
          </a:r>
        </a:p>
      </dsp:txBody>
      <dsp:txXfrm>
        <a:off x="3902873" y="1377"/>
        <a:ext cx="1482997" cy="889798"/>
      </dsp:txXfrm>
    </dsp:sp>
    <dsp:sp modelId="{9F60BDD3-7FD2-426F-9993-5075548488C5}">
      <dsp:nvSpPr>
        <dsp:cNvPr id="0" name=""/>
        <dsp:cNvSpPr/>
      </dsp:nvSpPr>
      <dsp:spPr>
        <a:xfrm>
          <a:off x="640278" y="1039476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Price and Volume Analysis:</a:t>
          </a:r>
          <a:endParaRPr lang="en-GB" sz="500" kern="1200"/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Average Daily Rate (ADR)</a:t>
          </a:r>
          <a:r>
            <a:rPr lang="en-GB" sz="400" kern="1200"/>
            <a:t>: Increases in ADR contribute to higher revenue per available room (RevPAR), impacting management and franchise fees.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Occupancy Rates</a:t>
          </a:r>
          <a:r>
            <a:rPr lang="en-GB" sz="400" kern="1200"/>
            <a:t>: Higher occupancy leads to increased volume, boosting incentive management fees and overall revenue.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Number of Managed/Franchised Properties</a:t>
          </a:r>
          <a:r>
            <a:rPr lang="en-GB" sz="400" kern="1200"/>
            <a:t>: Expansion in property count increases the base for fee generation.</a:t>
          </a:r>
        </a:p>
      </dsp:txBody>
      <dsp:txXfrm>
        <a:off x="640278" y="1039476"/>
        <a:ext cx="1482997" cy="889798"/>
      </dsp:txXfrm>
    </dsp:sp>
    <dsp:sp modelId="{673C0BDE-117F-4A52-8FB6-482288BF4E08}">
      <dsp:nvSpPr>
        <dsp:cNvPr id="0" name=""/>
        <dsp:cNvSpPr/>
      </dsp:nvSpPr>
      <dsp:spPr>
        <a:xfrm>
          <a:off x="2271576" y="1039476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Cost Drivers</a:t>
          </a:r>
          <a:endParaRPr lang="en-GB" sz="500" kern="1200"/>
        </a:p>
      </dsp:txBody>
      <dsp:txXfrm>
        <a:off x="2271576" y="1039476"/>
        <a:ext cx="1482997" cy="889798"/>
      </dsp:txXfrm>
    </dsp:sp>
    <dsp:sp modelId="{B8B50C46-7524-44C3-B0DF-62CB6ABB6743}">
      <dsp:nvSpPr>
        <dsp:cNvPr id="0" name=""/>
        <dsp:cNvSpPr/>
      </dsp:nvSpPr>
      <dsp:spPr>
        <a:xfrm>
          <a:off x="3902873" y="1039476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Breakdown:</a:t>
          </a:r>
          <a:endParaRPr lang="en-GB" sz="500" kern="1200"/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Owned, Leased, and Other - Direct Expenses</a:t>
          </a:r>
          <a:r>
            <a:rPr lang="en-GB" sz="400" kern="1200"/>
            <a:t>: $1,200 million in 2024, up from $1,165 million in 2023.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Depreciation, Amortization, and Other</a:t>
          </a:r>
          <a:r>
            <a:rPr lang="en-GB" sz="400" kern="1200"/>
            <a:t>: $183 million in 2024, down from $189 million in 2023.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General, Administrative, and Other</a:t>
          </a:r>
          <a:r>
            <a:rPr lang="en-GB" sz="400" kern="1200"/>
            <a:t>: $1,074 million in 2024, up from $1,011 million in 2023.</a:t>
          </a:r>
        </a:p>
      </dsp:txBody>
      <dsp:txXfrm>
        <a:off x="3902873" y="1039476"/>
        <a:ext cx="1482997" cy="889798"/>
      </dsp:txXfrm>
    </dsp:sp>
    <dsp:sp modelId="{A5B59004-1DD5-4991-AB1B-139EDBE691A8}">
      <dsp:nvSpPr>
        <dsp:cNvPr id="0" name=""/>
        <dsp:cNvSpPr/>
      </dsp:nvSpPr>
      <dsp:spPr>
        <a:xfrm>
          <a:off x="640278" y="2077574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GB" sz="500" b="1" kern="1200"/>
            <a:t>General, Administrative, and Other</a:t>
          </a:r>
          <a:r>
            <a:rPr lang="en-GB" sz="500" kern="1200"/>
            <a:t>: $1,074 million in 2024, up from $1,011 million in 2023.</a:t>
          </a:r>
        </a:p>
      </dsp:txBody>
      <dsp:txXfrm>
        <a:off x="640278" y="2077574"/>
        <a:ext cx="1482997" cy="889798"/>
      </dsp:txXfrm>
    </dsp:sp>
    <dsp:sp modelId="{4A6F22F1-CCB7-4071-9910-C78E095531EE}">
      <dsp:nvSpPr>
        <dsp:cNvPr id="0" name=""/>
        <dsp:cNvSpPr/>
      </dsp:nvSpPr>
      <dsp:spPr>
        <a:xfrm>
          <a:off x="2271576" y="2077574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GB" sz="500" b="1" kern="1200"/>
            <a:t>Restructuring and Merger-Related Charges</a:t>
          </a:r>
          <a:r>
            <a:rPr lang="en-GB" sz="500" kern="1200"/>
            <a:t>: $77 million in 2024, up from $60 million in 2023.</a:t>
          </a:r>
        </a:p>
      </dsp:txBody>
      <dsp:txXfrm>
        <a:off x="2271576" y="2077574"/>
        <a:ext cx="1482997" cy="889798"/>
      </dsp:txXfrm>
    </dsp:sp>
    <dsp:sp modelId="{AD8D5C50-1F52-4B1F-820D-A0B611FF68C3}">
      <dsp:nvSpPr>
        <dsp:cNvPr id="0" name=""/>
        <dsp:cNvSpPr/>
      </dsp:nvSpPr>
      <dsp:spPr>
        <a:xfrm>
          <a:off x="3902873" y="2077574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GB" sz="500" b="1" kern="1200"/>
            <a:t>Reimbursed Expenses</a:t>
          </a:r>
          <a:r>
            <a:rPr lang="en-GB" sz="500" kern="1200"/>
            <a:t>: $18,799 million in 2024, up from $17,424 million in 2023. </a:t>
          </a:r>
        </a:p>
      </dsp:txBody>
      <dsp:txXfrm>
        <a:off x="3902873" y="2077574"/>
        <a:ext cx="1482997" cy="889798"/>
      </dsp:txXfrm>
    </dsp:sp>
    <dsp:sp modelId="{D468836B-6942-4DE0-9568-F0EB5A670DFE}">
      <dsp:nvSpPr>
        <dsp:cNvPr id="0" name=""/>
        <dsp:cNvSpPr/>
      </dsp:nvSpPr>
      <dsp:spPr>
        <a:xfrm>
          <a:off x="640278" y="3115673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Cost Structure Analysis:</a:t>
          </a:r>
          <a:endParaRPr lang="en-GB" sz="500" kern="1200"/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Fixed Costs</a:t>
          </a:r>
          <a:r>
            <a:rPr lang="en-GB" sz="400" kern="1200"/>
            <a:t>: Depreciation and general administrative expenses remain relatively stable, indicating a significant fixed cost component.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anose="05050102010706020507" pitchFamily="18" charset="2"/>
            <a:buChar char=""/>
          </a:pPr>
          <a:r>
            <a:rPr lang="en-GB" sz="400" b="1" kern="1200"/>
            <a:t>Variable Costs</a:t>
          </a:r>
          <a:r>
            <a:rPr lang="en-GB" sz="400" kern="1200"/>
            <a:t>: Reimbursed expenses and direct operating costs vary with revenue, particularly in managed and franchised properties </a:t>
          </a:r>
        </a:p>
      </dsp:txBody>
      <dsp:txXfrm>
        <a:off x="640278" y="3115673"/>
        <a:ext cx="1482997" cy="889798"/>
      </dsp:txXfrm>
    </dsp:sp>
    <dsp:sp modelId="{F94BA3E8-A489-4B1F-8D12-608567A407EA}">
      <dsp:nvSpPr>
        <dsp:cNvPr id="0" name=""/>
        <dsp:cNvSpPr/>
      </dsp:nvSpPr>
      <dsp:spPr>
        <a:xfrm>
          <a:off x="2233062" y="3117051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Performance Commentary</a:t>
          </a:r>
          <a:endParaRPr lang="en-GB" sz="500" kern="1200"/>
        </a:p>
      </dsp:txBody>
      <dsp:txXfrm>
        <a:off x="2233062" y="3117051"/>
        <a:ext cx="1482997" cy="889798"/>
      </dsp:txXfrm>
    </dsp:sp>
    <dsp:sp modelId="{AB1B18C9-09D7-4127-B9CC-7A64F84BB6C5}">
      <dsp:nvSpPr>
        <dsp:cNvPr id="0" name=""/>
        <dsp:cNvSpPr/>
      </dsp:nvSpPr>
      <dsp:spPr>
        <a:xfrm>
          <a:off x="3902873" y="3115673"/>
          <a:ext cx="1482997" cy="889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Marriott demonstrated solid revenue growth in 2024, driven by increases in management and franchise fees, reflecting higher ADR and occupancy rates. The slight decline in owned and leased revenue suggests a strategic shift towards asset-light models. Cost structures remained stable, with variable costs aligning with revenue growth, maintaining healthy operating margins</a:t>
          </a:r>
        </a:p>
      </dsp:txBody>
      <dsp:txXfrm>
        <a:off x="3902873" y="3115673"/>
        <a:ext cx="1482997" cy="889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Lemmy E</dc:creator>
  <cp:keywords/>
  <dc:description/>
  <cp:lastModifiedBy>Lemmy E</cp:lastModifiedBy>
  <cp:revision>1</cp:revision>
  <dcterms:created xsi:type="dcterms:W3CDTF">2025-05-06T03:21:00Z</dcterms:created>
  <dcterms:modified xsi:type="dcterms:W3CDTF">2025-05-06T04:45:00Z</dcterms:modified>
</cp:coreProperties>
</file>