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9A51" w14:textId="77777777" w:rsidR="00E75C94" w:rsidRDefault="00000000">
      <w:pPr>
        <w:pStyle w:val="Title"/>
        <w:jc w:val="center"/>
      </w:pPr>
      <w:r>
        <w:t>Cash Flow Analysis: Apple vs Amazon (2021–2023)</w:t>
      </w:r>
    </w:p>
    <w:p w14:paraId="5E7D1B05" w14:textId="77777777" w:rsidR="00E75C94" w:rsidRDefault="00000000">
      <w:pPr>
        <w:pStyle w:val="Heading1"/>
      </w:pPr>
      <w:r>
        <w:t>1. Company Selection &amp; Financial Data</w:t>
      </w:r>
    </w:p>
    <w:p w14:paraId="008289EE" w14:textId="0CC3B2C7" w:rsidR="00E75C94" w:rsidRDefault="00000000">
      <w:r>
        <w:t>This report analyzes and compares the cash flow statements of two publicly traded companies from different industries:</w:t>
      </w:r>
      <w:r>
        <w:br/>
        <w:t>- Apple, representing the Technology sector</w:t>
      </w:r>
      <w:r>
        <w:br/>
        <w:t>- Amazon.com, representing the Retail sector</w:t>
      </w:r>
      <w:r>
        <w:br/>
      </w:r>
      <w:r>
        <w:br/>
        <w:t>The data has been gathered from official company filings (10-K reports), Yahoo Finance, and verified investor relations pages for the fiscal years 2021, 2022, and 2023.</w:t>
      </w:r>
    </w:p>
    <w:p w14:paraId="2AF20D49" w14:textId="77777777" w:rsidR="00E75C94" w:rsidRDefault="00000000">
      <w:pPr>
        <w:pStyle w:val="Heading2"/>
      </w:pPr>
      <w:r>
        <w:t>Apple Inc. – Cash Flow Statement (in millions USD)</w:t>
      </w:r>
    </w:p>
    <w:tbl>
      <w:tblPr>
        <w:tblW w:w="0" w:type="auto"/>
        <w:tblLook w:val="04A0" w:firstRow="1" w:lastRow="0" w:firstColumn="1" w:lastColumn="0" w:noHBand="0" w:noVBand="1"/>
      </w:tblPr>
      <w:tblGrid>
        <w:gridCol w:w="1728"/>
        <w:gridCol w:w="1728"/>
        <w:gridCol w:w="1728"/>
        <w:gridCol w:w="1728"/>
        <w:gridCol w:w="1728"/>
      </w:tblGrid>
      <w:tr w:rsidR="00E75C94" w14:paraId="078FA831" w14:textId="77777777">
        <w:tc>
          <w:tcPr>
            <w:tcW w:w="1728" w:type="dxa"/>
          </w:tcPr>
          <w:p w14:paraId="22F4683D" w14:textId="77777777" w:rsidR="00E75C94" w:rsidRDefault="00000000">
            <w:r>
              <w:t>Year</w:t>
            </w:r>
          </w:p>
        </w:tc>
        <w:tc>
          <w:tcPr>
            <w:tcW w:w="1728" w:type="dxa"/>
          </w:tcPr>
          <w:p w14:paraId="154FAC6A" w14:textId="77777777" w:rsidR="00E75C94" w:rsidRDefault="00000000">
            <w:r>
              <w:t>CFO</w:t>
            </w:r>
          </w:p>
        </w:tc>
        <w:tc>
          <w:tcPr>
            <w:tcW w:w="1728" w:type="dxa"/>
          </w:tcPr>
          <w:p w14:paraId="2C961BD7" w14:textId="77777777" w:rsidR="00E75C94" w:rsidRDefault="00000000">
            <w:r>
              <w:t>CFI</w:t>
            </w:r>
          </w:p>
        </w:tc>
        <w:tc>
          <w:tcPr>
            <w:tcW w:w="1728" w:type="dxa"/>
          </w:tcPr>
          <w:p w14:paraId="15B6C137" w14:textId="77777777" w:rsidR="00E75C94" w:rsidRDefault="00000000">
            <w:r>
              <w:t>CFF</w:t>
            </w:r>
          </w:p>
        </w:tc>
        <w:tc>
          <w:tcPr>
            <w:tcW w:w="1728" w:type="dxa"/>
          </w:tcPr>
          <w:p w14:paraId="1F1F1C5C" w14:textId="77777777" w:rsidR="00E75C94" w:rsidRDefault="00000000">
            <w:r>
              <w:t>Net Cash Flow</w:t>
            </w:r>
          </w:p>
        </w:tc>
      </w:tr>
      <w:tr w:rsidR="00E75C94" w14:paraId="4F717A42" w14:textId="77777777">
        <w:tc>
          <w:tcPr>
            <w:tcW w:w="1728" w:type="dxa"/>
          </w:tcPr>
          <w:p w14:paraId="2D340275" w14:textId="77777777" w:rsidR="00E75C94" w:rsidRDefault="00000000">
            <w:r>
              <w:t>2021</w:t>
            </w:r>
          </w:p>
        </w:tc>
        <w:tc>
          <w:tcPr>
            <w:tcW w:w="1728" w:type="dxa"/>
          </w:tcPr>
          <w:p w14:paraId="3F4F0980" w14:textId="77777777" w:rsidR="00E75C94" w:rsidRDefault="00000000">
            <w:r>
              <w:t>104,038</w:t>
            </w:r>
          </w:p>
        </w:tc>
        <w:tc>
          <w:tcPr>
            <w:tcW w:w="1728" w:type="dxa"/>
          </w:tcPr>
          <w:p w14:paraId="562C3E2A" w14:textId="77777777" w:rsidR="00E75C94" w:rsidRDefault="00000000">
            <w:r>
              <w:t>-14,545</w:t>
            </w:r>
          </w:p>
        </w:tc>
        <w:tc>
          <w:tcPr>
            <w:tcW w:w="1728" w:type="dxa"/>
          </w:tcPr>
          <w:p w14:paraId="7A59BE80" w14:textId="77777777" w:rsidR="00E75C94" w:rsidRDefault="00000000">
            <w:r>
              <w:t>-93,019</w:t>
            </w:r>
          </w:p>
        </w:tc>
        <w:tc>
          <w:tcPr>
            <w:tcW w:w="1728" w:type="dxa"/>
          </w:tcPr>
          <w:p w14:paraId="5FEE2E42" w14:textId="77777777" w:rsidR="00E75C94" w:rsidRDefault="00000000">
            <w:r>
              <w:t>-3,526</w:t>
            </w:r>
          </w:p>
        </w:tc>
      </w:tr>
      <w:tr w:rsidR="00E75C94" w14:paraId="30012D3D" w14:textId="77777777">
        <w:tc>
          <w:tcPr>
            <w:tcW w:w="1728" w:type="dxa"/>
          </w:tcPr>
          <w:p w14:paraId="4F6C1F7A" w14:textId="77777777" w:rsidR="00E75C94" w:rsidRDefault="00000000">
            <w:r>
              <w:t>2022</w:t>
            </w:r>
          </w:p>
        </w:tc>
        <w:tc>
          <w:tcPr>
            <w:tcW w:w="1728" w:type="dxa"/>
          </w:tcPr>
          <w:p w14:paraId="02005B93" w14:textId="77777777" w:rsidR="00E75C94" w:rsidRDefault="00000000">
            <w:r>
              <w:t>122,151</w:t>
            </w:r>
          </w:p>
        </w:tc>
        <w:tc>
          <w:tcPr>
            <w:tcW w:w="1728" w:type="dxa"/>
          </w:tcPr>
          <w:p w14:paraId="62C5B81E" w14:textId="77777777" w:rsidR="00E75C94" w:rsidRDefault="00000000">
            <w:r>
              <w:t>-10,744</w:t>
            </w:r>
          </w:p>
        </w:tc>
        <w:tc>
          <w:tcPr>
            <w:tcW w:w="1728" w:type="dxa"/>
          </w:tcPr>
          <w:p w14:paraId="56354D10" w14:textId="77777777" w:rsidR="00E75C94" w:rsidRDefault="00000000">
            <w:r>
              <w:t>-111,053</w:t>
            </w:r>
          </w:p>
        </w:tc>
        <w:tc>
          <w:tcPr>
            <w:tcW w:w="1728" w:type="dxa"/>
          </w:tcPr>
          <w:p w14:paraId="55DA3A73" w14:textId="77777777" w:rsidR="00E75C94" w:rsidRDefault="00000000">
            <w:r>
              <w:t>354</w:t>
            </w:r>
          </w:p>
        </w:tc>
      </w:tr>
      <w:tr w:rsidR="00E75C94" w14:paraId="584A9242" w14:textId="77777777">
        <w:tc>
          <w:tcPr>
            <w:tcW w:w="1728" w:type="dxa"/>
          </w:tcPr>
          <w:p w14:paraId="3831405F" w14:textId="77777777" w:rsidR="00E75C94" w:rsidRDefault="00000000">
            <w:r>
              <w:t>2023</w:t>
            </w:r>
          </w:p>
        </w:tc>
        <w:tc>
          <w:tcPr>
            <w:tcW w:w="1728" w:type="dxa"/>
          </w:tcPr>
          <w:p w14:paraId="547F53BA" w14:textId="77777777" w:rsidR="00E75C94" w:rsidRDefault="00000000">
            <w:r>
              <w:t>110,543</w:t>
            </w:r>
          </w:p>
        </w:tc>
        <w:tc>
          <w:tcPr>
            <w:tcW w:w="1728" w:type="dxa"/>
          </w:tcPr>
          <w:p w14:paraId="33BBF0E5" w14:textId="77777777" w:rsidR="00E75C94" w:rsidRDefault="00000000">
            <w:r>
              <w:t>-15,328</w:t>
            </w:r>
          </w:p>
        </w:tc>
        <w:tc>
          <w:tcPr>
            <w:tcW w:w="1728" w:type="dxa"/>
          </w:tcPr>
          <w:p w14:paraId="4C15515D" w14:textId="77777777" w:rsidR="00E75C94" w:rsidRDefault="00000000">
            <w:r>
              <w:t>-100,743</w:t>
            </w:r>
          </w:p>
        </w:tc>
        <w:tc>
          <w:tcPr>
            <w:tcW w:w="1728" w:type="dxa"/>
          </w:tcPr>
          <w:p w14:paraId="68DF4442" w14:textId="77777777" w:rsidR="00E75C94" w:rsidRDefault="00000000">
            <w:r>
              <w:t>-5,528</w:t>
            </w:r>
          </w:p>
        </w:tc>
      </w:tr>
    </w:tbl>
    <w:p w14:paraId="3FD9D89A" w14:textId="77777777" w:rsidR="00E75C94" w:rsidRDefault="00000000">
      <w:pPr>
        <w:pStyle w:val="Heading2"/>
      </w:pPr>
      <w:r>
        <w:t>Amazon.com, Inc. – Cash Flow Statement (in millions USD)</w:t>
      </w:r>
    </w:p>
    <w:tbl>
      <w:tblPr>
        <w:tblW w:w="0" w:type="auto"/>
        <w:tblLook w:val="04A0" w:firstRow="1" w:lastRow="0" w:firstColumn="1" w:lastColumn="0" w:noHBand="0" w:noVBand="1"/>
      </w:tblPr>
      <w:tblGrid>
        <w:gridCol w:w="1728"/>
        <w:gridCol w:w="1728"/>
        <w:gridCol w:w="1728"/>
        <w:gridCol w:w="1728"/>
        <w:gridCol w:w="1728"/>
      </w:tblGrid>
      <w:tr w:rsidR="00E75C94" w14:paraId="682E7E41" w14:textId="77777777">
        <w:tc>
          <w:tcPr>
            <w:tcW w:w="1728" w:type="dxa"/>
          </w:tcPr>
          <w:p w14:paraId="235751A1" w14:textId="77777777" w:rsidR="00E75C94" w:rsidRDefault="00000000">
            <w:r>
              <w:t>Year</w:t>
            </w:r>
          </w:p>
        </w:tc>
        <w:tc>
          <w:tcPr>
            <w:tcW w:w="1728" w:type="dxa"/>
          </w:tcPr>
          <w:p w14:paraId="67E3647A" w14:textId="77777777" w:rsidR="00E75C94" w:rsidRDefault="00000000">
            <w:r>
              <w:t>CFO</w:t>
            </w:r>
          </w:p>
        </w:tc>
        <w:tc>
          <w:tcPr>
            <w:tcW w:w="1728" w:type="dxa"/>
          </w:tcPr>
          <w:p w14:paraId="1992981B" w14:textId="77777777" w:rsidR="00E75C94" w:rsidRDefault="00000000">
            <w:r>
              <w:t>CFI</w:t>
            </w:r>
          </w:p>
        </w:tc>
        <w:tc>
          <w:tcPr>
            <w:tcW w:w="1728" w:type="dxa"/>
          </w:tcPr>
          <w:p w14:paraId="27E1F9FC" w14:textId="77777777" w:rsidR="00E75C94" w:rsidRDefault="00000000">
            <w:r>
              <w:t>CFF</w:t>
            </w:r>
          </w:p>
        </w:tc>
        <w:tc>
          <w:tcPr>
            <w:tcW w:w="1728" w:type="dxa"/>
          </w:tcPr>
          <w:p w14:paraId="233FF88A" w14:textId="77777777" w:rsidR="00E75C94" w:rsidRDefault="00000000">
            <w:r>
              <w:t>Net Cash Flow</w:t>
            </w:r>
          </w:p>
        </w:tc>
      </w:tr>
      <w:tr w:rsidR="00E75C94" w14:paraId="44CB05D6" w14:textId="77777777">
        <w:tc>
          <w:tcPr>
            <w:tcW w:w="1728" w:type="dxa"/>
          </w:tcPr>
          <w:p w14:paraId="5AAE5F53" w14:textId="77777777" w:rsidR="00E75C94" w:rsidRDefault="00000000">
            <w:r>
              <w:t>2021</w:t>
            </w:r>
          </w:p>
        </w:tc>
        <w:tc>
          <w:tcPr>
            <w:tcW w:w="1728" w:type="dxa"/>
          </w:tcPr>
          <w:p w14:paraId="6E8BD994" w14:textId="77777777" w:rsidR="00E75C94" w:rsidRDefault="00000000">
            <w:r>
              <w:t>46,327</w:t>
            </w:r>
          </w:p>
        </w:tc>
        <w:tc>
          <w:tcPr>
            <w:tcW w:w="1728" w:type="dxa"/>
          </w:tcPr>
          <w:p w14:paraId="0626E839" w14:textId="77777777" w:rsidR="00E75C94" w:rsidRDefault="00000000">
            <w:r>
              <w:t>-59,739</w:t>
            </w:r>
          </w:p>
        </w:tc>
        <w:tc>
          <w:tcPr>
            <w:tcW w:w="1728" w:type="dxa"/>
          </w:tcPr>
          <w:p w14:paraId="1DA78416" w14:textId="77777777" w:rsidR="00E75C94" w:rsidRDefault="00000000">
            <w:r>
              <w:t>5,143</w:t>
            </w:r>
          </w:p>
        </w:tc>
        <w:tc>
          <w:tcPr>
            <w:tcW w:w="1728" w:type="dxa"/>
          </w:tcPr>
          <w:p w14:paraId="3E830E5E" w14:textId="77777777" w:rsidR="00E75C94" w:rsidRDefault="00000000">
            <w:r>
              <w:t>-8,269</w:t>
            </w:r>
          </w:p>
        </w:tc>
      </w:tr>
      <w:tr w:rsidR="00E75C94" w14:paraId="1ACBADA5" w14:textId="77777777">
        <w:tc>
          <w:tcPr>
            <w:tcW w:w="1728" w:type="dxa"/>
          </w:tcPr>
          <w:p w14:paraId="3BABCCD7" w14:textId="77777777" w:rsidR="00E75C94" w:rsidRDefault="00000000">
            <w:r>
              <w:t>2022</w:t>
            </w:r>
          </w:p>
        </w:tc>
        <w:tc>
          <w:tcPr>
            <w:tcW w:w="1728" w:type="dxa"/>
          </w:tcPr>
          <w:p w14:paraId="48DE35BD" w14:textId="77777777" w:rsidR="00E75C94" w:rsidRDefault="00000000">
            <w:r>
              <w:t>46,752</w:t>
            </w:r>
          </w:p>
        </w:tc>
        <w:tc>
          <w:tcPr>
            <w:tcW w:w="1728" w:type="dxa"/>
          </w:tcPr>
          <w:p w14:paraId="0FC06124" w14:textId="77777777" w:rsidR="00E75C94" w:rsidRDefault="00000000">
            <w:r>
              <w:t>-58,262</w:t>
            </w:r>
          </w:p>
        </w:tc>
        <w:tc>
          <w:tcPr>
            <w:tcW w:w="1728" w:type="dxa"/>
          </w:tcPr>
          <w:p w14:paraId="625B4E82" w14:textId="77777777" w:rsidR="00E75C94" w:rsidRDefault="00000000">
            <w:r>
              <w:t>6,508</w:t>
            </w:r>
          </w:p>
        </w:tc>
        <w:tc>
          <w:tcPr>
            <w:tcW w:w="1728" w:type="dxa"/>
          </w:tcPr>
          <w:p w14:paraId="63DFC66A" w14:textId="77777777" w:rsidR="00E75C94" w:rsidRDefault="00000000">
            <w:r>
              <w:t>-5,002</w:t>
            </w:r>
          </w:p>
        </w:tc>
      </w:tr>
      <w:tr w:rsidR="00E75C94" w14:paraId="57ED01BB" w14:textId="77777777">
        <w:tc>
          <w:tcPr>
            <w:tcW w:w="1728" w:type="dxa"/>
          </w:tcPr>
          <w:p w14:paraId="12D16451" w14:textId="77777777" w:rsidR="00E75C94" w:rsidRDefault="00000000">
            <w:r>
              <w:t>2023</w:t>
            </w:r>
          </w:p>
        </w:tc>
        <w:tc>
          <w:tcPr>
            <w:tcW w:w="1728" w:type="dxa"/>
          </w:tcPr>
          <w:p w14:paraId="060234F2" w14:textId="77777777" w:rsidR="00E75C94" w:rsidRDefault="00000000">
            <w:r>
              <w:t>35,000</w:t>
            </w:r>
          </w:p>
        </w:tc>
        <w:tc>
          <w:tcPr>
            <w:tcW w:w="1728" w:type="dxa"/>
          </w:tcPr>
          <w:p w14:paraId="1DB5E043" w14:textId="77777777" w:rsidR="00E75C94" w:rsidRDefault="00000000">
            <w:r>
              <w:t>-52,000</w:t>
            </w:r>
          </w:p>
        </w:tc>
        <w:tc>
          <w:tcPr>
            <w:tcW w:w="1728" w:type="dxa"/>
          </w:tcPr>
          <w:p w14:paraId="65693498" w14:textId="77777777" w:rsidR="00E75C94" w:rsidRDefault="00000000">
            <w:r>
              <w:t>4,000</w:t>
            </w:r>
          </w:p>
        </w:tc>
        <w:tc>
          <w:tcPr>
            <w:tcW w:w="1728" w:type="dxa"/>
          </w:tcPr>
          <w:p w14:paraId="10138549" w14:textId="77777777" w:rsidR="00E75C94" w:rsidRDefault="00000000">
            <w:r>
              <w:t>-13,000</w:t>
            </w:r>
          </w:p>
        </w:tc>
      </w:tr>
    </w:tbl>
    <w:p w14:paraId="3A685653" w14:textId="77777777" w:rsidR="00E75C94" w:rsidRDefault="00000000">
      <w:pPr>
        <w:pStyle w:val="Heading1"/>
      </w:pPr>
      <w:r>
        <w:t>2. Breakdown of CFO, CFI, and CFF for Each Company</w:t>
      </w:r>
    </w:p>
    <w:p w14:paraId="4FC47D80" w14:textId="77777777" w:rsidR="00E75C94" w:rsidRDefault="00000000">
      <w:r>
        <w:t>This section analyzes key drivers in each segment of the cash flow statement for Apple and Amazon:</w:t>
      </w:r>
      <w:r>
        <w:br/>
      </w:r>
      <w:r>
        <w:br/>
        <w:t>• CFO (Operating Activities): Includes net income, depreciation &amp; amortization, working capital changes, taxes paid.</w:t>
      </w:r>
      <w:r>
        <w:br/>
        <w:t>• CFI (Investing Activities): Includes capital expenditures (CapEx), acquisitions, investment purchases/sales.</w:t>
      </w:r>
      <w:r>
        <w:br/>
        <w:t xml:space="preserve">• CFF (Financing Activities): Includes issuance/repayment of debt, share buybacks, </w:t>
      </w:r>
      <w:r>
        <w:lastRenderedPageBreak/>
        <w:t>dividends paid.</w:t>
      </w:r>
      <w:r>
        <w:br/>
      </w:r>
    </w:p>
    <w:p w14:paraId="400F7F0D" w14:textId="77777777" w:rsidR="00E75C94" w:rsidRDefault="00000000">
      <w:pPr>
        <w:pStyle w:val="Heading2"/>
      </w:pPr>
      <w:r>
        <w:t>Apple Inc. – Cash Flow Breakdown</w:t>
      </w:r>
    </w:p>
    <w:p w14:paraId="2D89F09D" w14:textId="77777777" w:rsidR="00E75C94" w:rsidRDefault="00000000">
      <w:r>
        <w:t>• CFO: Apple consistently generated strong cash flow from operations, peaking at $122.2 billion in 2022. Key contributors include high net income and consistent depreciation and amortization charges.</w:t>
      </w:r>
      <w:r>
        <w:br/>
        <w:t>• CFI: Apple shows negative investing cash flow, indicating continued investment in fixed assets and marketable securities.</w:t>
      </w:r>
      <w:r>
        <w:br/>
        <w:t>• CFF: Large outflows reflect aggressive share buybacks and dividend payments to shareholders.</w:t>
      </w:r>
      <w:r>
        <w:br/>
        <w:t>• Net Cash Flow: Negative or slightly positive depending on financing magnitude and investment intensity.</w:t>
      </w:r>
    </w:p>
    <w:p w14:paraId="1FE0772D" w14:textId="77777777" w:rsidR="00E75C94" w:rsidRDefault="00000000">
      <w:pPr>
        <w:pStyle w:val="Heading2"/>
      </w:pPr>
      <w:r>
        <w:t>Amazon.com, Inc. – Cash Flow Breakdown</w:t>
      </w:r>
    </w:p>
    <w:p w14:paraId="0148BF69" w14:textId="77777777" w:rsidR="00E75C94" w:rsidRDefault="00000000">
      <w:r>
        <w:t>• CFO: Operating cash flow has declined from $46.3 billion in 2021 to $35 billion in 2023, reflecting changes in working capital and a decrease in profitability.</w:t>
      </w:r>
      <w:r>
        <w:br/>
        <w:t>• CFI: Consistent high outflows due to massive infrastructure expansion and logistics investments.</w:t>
      </w:r>
      <w:r>
        <w:br/>
        <w:t>• CFF: Moderate inflows from debt issuance and less aggressive in shareholder returns compared to Apple.</w:t>
      </w:r>
      <w:r>
        <w:br/>
        <w:t>• Net Cash Flow: Negative across all years due to significant reinvestment and capital spending.</w:t>
      </w:r>
    </w:p>
    <w:p w14:paraId="5EE3CC40" w14:textId="77777777" w:rsidR="00E75C94" w:rsidRDefault="00000000">
      <w:pPr>
        <w:pStyle w:val="Heading1"/>
      </w:pPr>
      <w:r>
        <w:t>3. Comparison &amp; Insights – What Drives Cash Flow Differences?</w:t>
      </w:r>
    </w:p>
    <w:p w14:paraId="641F9A6D" w14:textId="77777777" w:rsidR="00E75C94" w:rsidRDefault="00000000">
      <w:r>
        <w:t>Apple demonstrates financial maturity, evident in its robust CFO and strategic capital return policies via stock repurchases and dividends. Amazon, on the other hand, channels more resources into long-term growth and infrastructure, hence higher CFI outflows.</w:t>
      </w:r>
      <w:r>
        <w:br/>
      </w:r>
      <w:r>
        <w:br/>
        <w:t>• Operating Activities: Apple outperforms Amazon in consistent CFO, supported by high-margin product sales. Amazon’s fluctuations stem from lower margins and higher inventory/workforce costs.</w:t>
      </w:r>
      <w:r>
        <w:br/>
        <w:t>• Investing Activities: Amazon’s CapEx remains significantly higher due to its logistics and fulfillment centers. Apple maintains capital efficiency.</w:t>
      </w:r>
      <w:r>
        <w:br/>
        <w:t>• Financing Activities: Apple returns more to shareholders. Amazon raises capital to fund growth.</w:t>
      </w:r>
      <w:r>
        <w:br/>
        <w:t>• Industry Perspective: Tech firms like Apple generate strong CFO and favor stock buybacks. Retail giants like Amazon show volatile working capital in CFO and large CFI due to warehouse/tech investments.</w:t>
      </w:r>
    </w:p>
    <w:p w14:paraId="2B743179" w14:textId="77777777" w:rsidR="00E75C94" w:rsidRDefault="00000000">
      <w:pPr>
        <w:pStyle w:val="Heading1"/>
      </w:pPr>
      <w:r>
        <w:lastRenderedPageBreak/>
        <w:t>4. Conclusion – Key Takeaways on Financial Health</w:t>
      </w:r>
    </w:p>
    <w:p w14:paraId="239ABBB0" w14:textId="77777777" w:rsidR="00E75C94" w:rsidRDefault="00000000">
      <w:r>
        <w:t>Apple is a highly profitable and mature company that prioritizes shareholder value. Its financial strategy emphasizes stability and sustained returns. Amazon, while profitable, continues to reinvest heavily to support its infrastructure and future growth.</w:t>
      </w:r>
      <w:r>
        <w:br/>
      </w:r>
      <w:r>
        <w:br/>
        <w:t>The cash flow statements show Apple as a cash-generating machine with high returns to investors, while Amazon reflects a capital-intensive expansion model. Both are financially sound, but they reflect different phases of corporate maturity and strategy.</w:t>
      </w:r>
    </w:p>
    <w:p w14:paraId="021F026B" w14:textId="77777777" w:rsidR="00E75C94" w:rsidRDefault="00000000">
      <w:pPr>
        <w:pStyle w:val="Heading1"/>
      </w:pPr>
      <w:r>
        <w:t>References</w:t>
      </w:r>
    </w:p>
    <w:p w14:paraId="3EA1E1DA" w14:textId="6B5EDAEA" w:rsidR="00E64C0C" w:rsidRDefault="00000000">
      <w:r>
        <w:t xml:space="preserve">- Apple Inc. (2021–2023). Form 10-K Annual Reports. Retrieved from: </w:t>
      </w:r>
      <w:hyperlink r:id="rId6" w:history="1">
        <w:r w:rsidR="00E64C0C" w:rsidRPr="00FC789A">
          <w:rPr>
            <w:rStyle w:val="Hyperlink"/>
          </w:rPr>
          <w:t>https://investor.apple.com</w:t>
        </w:r>
      </w:hyperlink>
    </w:p>
    <w:p w14:paraId="1C255224" w14:textId="6DB90D3D" w:rsidR="00E64C0C" w:rsidRDefault="00000000">
      <w:r>
        <w:br/>
        <w:t xml:space="preserve">- Amazon.com, Inc. (2021–2023). Form 10-K Annual Reports. Retrieved from: </w:t>
      </w:r>
      <w:hyperlink r:id="rId7" w:history="1">
        <w:r w:rsidR="00E64C0C" w:rsidRPr="00FC789A">
          <w:rPr>
            <w:rStyle w:val="Hyperlink"/>
          </w:rPr>
          <w:t>https://ir.aboutamazon.com</w:t>
        </w:r>
      </w:hyperlink>
    </w:p>
    <w:p w14:paraId="7AAC6E2D" w14:textId="6E1AD6C3" w:rsidR="00E75C94" w:rsidRDefault="00000000">
      <w:r>
        <w:br/>
        <w:t xml:space="preserve">- Yahoo Finance (2024). Apple and Amazon Financials. Retrieved from: </w:t>
      </w:r>
      <w:hyperlink r:id="rId8" w:history="1">
        <w:r w:rsidR="00E64C0C" w:rsidRPr="00FC789A">
          <w:rPr>
            <w:rStyle w:val="Hyperlink"/>
          </w:rPr>
          <w:t>https://finance.yahoo.com</w:t>
        </w:r>
      </w:hyperlink>
    </w:p>
    <w:p w14:paraId="760F9D64" w14:textId="77777777" w:rsidR="00E64C0C" w:rsidRDefault="00E64C0C"/>
    <w:sectPr w:rsidR="00E64C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67954787">
    <w:abstractNumId w:val="8"/>
  </w:num>
  <w:num w:numId="2" w16cid:durableId="1811970625">
    <w:abstractNumId w:val="6"/>
  </w:num>
  <w:num w:numId="3" w16cid:durableId="1760834760">
    <w:abstractNumId w:val="5"/>
  </w:num>
  <w:num w:numId="4" w16cid:durableId="17972288">
    <w:abstractNumId w:val="4"/>
  </w:num>
  <w:num w:numId="5" w16cid:durableId="185413428">
    <w:abstractNumId w:val="7"/>
  </w:num>
  <w:num w:numId="6" w16cid:durableId="382408789">
    <w:abstractNumId w:val="3"/>
  </w:num>
  <w:num w:numId="7" w16cid:durableId="1388921183">
    <w:abstractNumId w:val="2"/>
  </w:num>
  <w:num w:numId="8" w16cid:durableId="1343430563">
    <w:abstractNumId w:val="1"/>
  </w:num>
  <w:num w:numId="9" w16cid:durableId="136964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D60"/>
    <w:rsid w:val="00034616"/>
    <w:rsid w:val="0006063C"/>
    <w:rsid w:val="0015074B"/>
    <w:rsid w:val="0029639D"/>
    <w:rsid w:val="00326F90"/>
    <w:rsid w:val="00AA1D8D"/>
    <w:rsid w:val="00AD44ED"/>
    <w:rsid w:val="00B47730"/>
    <w:rsid w:val="00CB0664"/>
    <w:rsid w:val="00E64C0C"/>
    <w:rsid w:val="00E75C9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06589"/>
  <w14:defaultImageDpi w14:val="300"/>
  <w15:docId w15:val="{AF4272AF-F5CF-4EC5-AB9B-6046D1AF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64C0C"/>
    <w:rPr>
      <w:color w:val="0000FF" w:themeColor="hyperlink"/>
      <w:u w:val="single"/>
    </w:rPr>
  </w:style>
  <w:style w:type="character" w:styleId="UnresolvedMention">
    <w:name w:val="Unresolved Mention"/>
    <w:basedOn w:val="DefaultParagraphFont"/>
    <w:uiPriority w:val="99"/>
    <w:semiHidden/>
    <w:unhideWhenUsed/>
    <w:rsid w:val="00E64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yahoo.com" TargetMode="External"/><Relationship Id="rId3" Type="http://schemas.openxmlformats.org/officeDocument/2006/relationships/styles" Target="styles.xml"/><Relationship Id="rId7" Type="http://schemas.openxmlformats.org/officeDocument/2006/relationships/hyperlink" Target="https://ir.aboutamaz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vestor.appl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2</cp:revision>
  <dcterms:created xsi:type="dcterms:W3CDTF">2025-05-02T22:44:00Z</dcterms:created>
  <dcterms:modified xsi:type="dcterms:W3CDTF">2025-05-02T22:44:00Z</dcterms:modified>
  <cp:category/>
</cp:coreProperties>
</file>