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1FF" w14:textId="77777777" w:rsidR="00DB5282" w:rsidRDefault="00000000" w:rsidP="00E26A65">
      <w:pPr>
        <w:pStyle w:val="Title"/>
        <w:jc w:val="center"/>
      </w:pPr>
      <w:r>
        <w:t>Financial Forecasting and Projections – GreenTech Solutions</w:t>
      </w:r>
    </w:p>
    <w:p w14:paraId="5AE1062B" w14:textId="77777777" w:rsidR="00DB5282" w:rsidRDefault="00000000">
      <w:pPr>
        <w:pStyle w:val="Heading1"/>
      </w:pPr>
      <w:r>
        <w:t>1. Introduction</w:t>
      </w:r>
    </w:p>
    <w:p w14:paraId="05B673FF" w14:textId="77777777" w:rsidR="00DB5282" w:rsidRDefault="00000000">
      <w:r>
        <w:t>GreenTech Solutions, a company specializing in sustainable energy products, is planning its financial strategy for the next three years. As a financial analyst, I have used historical performance data and applied forecasting techniques to project revenue, operating expenses, and net income for the years 2024 and 2025. This report includes a comprehensive analysis of trends and offers insights based on industry-standard forecasting methods.</w:t>
      </w:r>
    </w:p>
    <w:p w14:paraId="438C9EFB" w14:textId="77777777" w:rsidR="00DB5282" w:rsidRDefault="00000000">
      <w:pPr>
        <w:pStyle w:val="Heading1"/>
      </w:pPr>
      <w:r>
        <w:t>2. Historical Performance Data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DB5282" w14:paraId="5AEB3EB3" w14:textId="77777777" w:rsidTr="00E26A65">
        <w:tc>
          <w:tcPr>
            <w:tcW w:w="1728" w:type="dxa"/>
          </w:tcPr>
          <w:p w14:paraId="04BBD682" w14:textId="77777777" w:rsidR="00DB5282" w:rsidRDefault="00000000">
            <w:r>
              <w:t>Year</w:t>
            </w:r>
          </w:p>
        </w:tc>
        <w:tc>
          <w:tcPr>
            <w:tcW w:w="1728" w:type="dxa"/>
          </w:tcPr>
          <w:p w14:paraId="3520EC1B" w14:textId="77777777" w:rsidR="00DB5282" w:rsidRDefault="00000000">
            <w:r>
              <w:t>Revenue ($)</w:t>
            </w:r>
          </w:p>
        </w:tc>
        <w:tc>
          <w:tcPr>
            <w:tcW w:w="1728" w:type="dxa"/>
          </w:tcPr>
          <w:p w14:paraId="4B0E8819" w14:textId="77777777" w:rsidR="00DB5282" w:rsidRDefault="00000000">
            <w:r>
              <w:t>Operating Expenses ($)</w:t>
            </w:r>
          </w:p>
        </w:tc>
        <w:tc>
          <w:tcPr>
            <w:tcW w:w="1728" w:type="dxa"/>
          </w:tcPr>
          <w:p w14:paraId="0787FB15" w14:textId="77777777" w:rsidR="00DB5282" w:rsidRDefault="00000000">
            <w:r>
              <w:t>Net Income ($)</w:t>
            </w:r>
          </w:p>
        </w:tc>
        <w:tc>
          <w:tcPr>
            <w:tcW w:w="1728" w:type="dxa"/>
          </w:tcPr>
          <w:p w14:paraId="06B7F97F" w14:textId="77777777" w:rsidR="00DB5282" w:rsidRDefault="00000000">
            <w:r>
              <w:t>Growth Rate (%)</w:t>
            </w:r>
          </w:p>
        </w:tc>
      </w:tr>
      <w:tr w:rsidR="00DB5282" w14:paraId="651874C3" w14:textId="77777777" w:rsidTr="00E26A65">
        <w:tc>
          <w:tcPr>
            <w:tcW w:w="1728" w:type="dxa"/>
          </w:tcPr>
          <w:p w14:paraId="0DD13066" w14:textId="77777777" w:rsidR="00DB5282" w:rsidRDefault="00000000">
            <w:r>
              <w:t>2021</w:t>
            </w:r>
          </w:p>
        </w:tc>
        <w:tc>
          <w:tcPr>
            <w:tcW w:w="1728" w:type="dxa"/>
          </w:tcPr>
          <w:p w14:paraId="2D3A6497" w14:textId="77777777" w:rsidR="00DB5282" w:rsidRDefault="00000000">
            <w:r>
              <w:t>1,000,000</w:t>
            </w:r>
          </w:p>
        </w:tc>
        <w:tc>
          <w:tcPr>
            <w:tcW w:w="1728" w:type="dxa"/>
          </w:tcPr>
          <w:p w14:paraId="3431BCCA" w14:textId="77777777" w:rsidR="00DB5282" w:rsidRDefault="00000000">
            <w:r>
              <w:t>700,000</w:t>
            </w:r>
          </w:p>
        </w:tc>
        <w:tc>
          <w:tcPr>
            <w:tcW w:w="1728" w:type="dxa"/>
          </w:tcPr>
          <w:p w14:paraId="7324533E" w14:textId="77777777" w:rsidR="00DB5282" w:rsidRDefault="00000000">
            <w:r>
              <w:t>100,000</w:t>
            </w:r>
          </w:p>
        </w:tc>
        <w:tc>
          <w:tcPr>
            <w:tcW w:w="1728" w:type="dxa"/>
          </w:tcPr>
          <w:p w14:paraId="539A64C3" w14:textId="77777777" w:rsidR="00DB5282" w:rsidRDefault="00000000">
            <w:r>
              <w:t>10%</w:t>
            </w:r>
          </w:p>
        </w:tc>
      </w:tr>
      <w:tr w:rsidR="00DB5282" w14:paraId="4591DC7A" w14:textId="77777777" w:rsidTr="00E26A65">
        <w:tc>
          <w:tcPr>
            <w:tcW w:w="1728" w:type="dxa"/>
          </w:tcPr>
          <w:p w14:paraId="76445A91" w14:textId="77777777" w:rsidR="00DB5282" w:rsidRDefault="00000000">
            <w:r>
              <w:t>2022</w:t>
            </w:r>
          </w:p>
        </w:tc>
        <w:tc>
          <w:tcPr>
            <w:tcW w:w="1728" w:type="dxa"/>
          </w:tcPr>
          <w:p w14:paraId="375364F0" w14:textId="77777777" w:rsidR="00DB5282" w:rsidRDefault="00000000">
            <w:r>
              <w:t>1,100,000</w:t>
            </w:r>
          </w:p>
        </w:tc>
        <w:tc>
          <w:tcPr>
            <w:tcW w:w="1728" w:type="dxa"/>
          </w:tcPr>
          <w:p w14:paraId="15541332" w14:textId="77777777" w:rsidR="00DB5282" w:rsidRDefault="00000000">
            <w:r>
              <w:t>770,000</w:t>
            </w:r>
          </w:p>
        </w:tc>
        <w:tc>
          <w:tcPr>
            <w:tcW w:w="1728" w:type="dxa"/>
          </w:tcPr>
          <w:p w14:paraId="55712DFE" w14:textId="77777777" w:rsidR="00DB5282" w:rsidRDefault="00000000">
            <w:r>
              <w:t>120,000</w:t>
            </w:r>
          </w:p>
        </w:tc>
        <w:tc>
          <w:tcPr>
            <w:tcW w:w="1728" w:type="dxa"/>
          </w:tcPr>
          <w:p w14:paraId="71FE5864" w14:textId="77777777" w:rsidR="00DB5282" w:rsidRDefault="00000000">
            <w:r>
              <w:t>12%</w:t>
            </w:r>
          </w:p>
        </w:tc>
      </w:tr>
      <w:tr w:rsidR="00DB5282" w14:paraId="3431FDD6" w14:textId="77777777" w:rsidTr="00E26A65">
        <w:tc>
          <w:tcPr>
            <w:tcW w:w="1728" w:type="dxa"/>
          </w:tcPr>
          <w:p w14:paraId="07C420BF" w14:textId="77777777" w:rsidR="00DB5282" w:rsidRDefault="00000000">
            <w:r>
              <w:t>2023</w:t>
            </w:r>
          </w:p>
        </w:tc>
        <w:tc>
          <w:tcPr>
            <w:tcW w:w="1728" w:type="dxa"/>
          </w:tcPr>
          <w:p w14:paraId="0A28EC7F" w14:textId="77777777" w:rsidR="00DB5282" w:rsidRDefault="00000000">
            <w:r>
              <w:t>1,232,000</w:t>
            </w:r>
          </w:p>
        </w:tc>
        <w:tc>
          <w:tcPr>
            <w:tcW w:w="1728" w:type="dxa"/>
          </w:tcPr>
          <w:p w14:paraId="5F0584F3" w14:textId="77777777" w:rsidR="00DB5282" w:rsidRDefault="00000000">
            <w:r>
              <w:t>850,000</w:t>
            </w:r>
          </w:p>
        </w:tc>
        <w:tc>
          <w:tcPr>
            <w:tcW w:w="1728" w:type="dxa"/>
          </w:tcPr>
          <w:p w14:paraId="71CA3CAF" w14:textId="77777777" w:rsidR="00DB5282" w:rsidRDefault="00000000">
            <w:r>
              <w:t>150,000</w:t>
            </w:r>
          </w:p>
        </w:tc>
        <w:tc>
          <w:tcPr>
            <w:tcW w:w="1728" w:type="dxa"/>
          </w:tcPr>
          <w:p w14:paraId="768700AE" w14:textId="77777777" w:rsidR="00DB5282" w:rsidRDefault="00000000">
            <w:r>
              <w:t>12%</w:t>
            </w:r>
          </w:p>
        </w:tc>
      </w:tr>
    </w:tbl>
    <w:p w14:paraId="7CE3C07F" w14:textId="77777777" w:rsidR="00DB5282" w:rsidRDefault="00000000">
      <w:pPr>
        <w:pStyle w:val="Heading1"/>
      </w:pPr>
      <w:r>
        <w:t>3. Forecast Calculations</w:t>
      </w:r>
    </w:p>
    <w:p w14:paraId="485CCC76" w14:textId="77777777" w:rsidR="00DB5282" w:rsidRDefault="00000000">
      <w:r>
        <w:t>To forecast the figures for 2024 and 2025, we used the following techniques:</w:t>
      </w:r>
      <w:r>
        <w:br/>
      </w:r>
      <w:r>
        <w:br/>
        <w:t>- Revenue was forecasted using the average historical growth rate (11%)</w:t>
      </w:r>
      <w:r>
        <w:br/>
        <w:t>- Operating expenses were projected using an 8% annual growth rate</w:t>
      </w:r>
      <w:r>
        <w:br/>
        <w:t>- Net income was forecasted based on the average net income to revenue ratio (11.1%)</w:t>
      </w:r>
    </w:p>
    <w:p w14:paraId="2B1C9C51" w14:textId="77777777" w:rsidR="00DB5282" w:rsidRDefault="00000000">
      <w:pPr>
        <w:pStyle w:val="Heading2"/>
      </w:pPr>
      <w:r>
        <w:t>Projected Financials for 2024 and 2025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8"/>
        <w:gridCol w:w="2158"/>
      </w:tblGrid>
      <w:tr w:rsidR="00DB5282" w14:paraId="0B1E2E0E" w14:textId="77777777" w:rsidTr="00E26A65">
        <w:tc>
          <w:tcPr>
            <w:tcW w:w="2160" w:type="dxa"/>
          </w:tcPr>
          <w:p w14:paraId="03A593EA" w14:textId="77777777" w:rsidR="00DB5282" w:rsidRDefault="00000000">
            <w:r>
              <w:t>Year</w:t>
            </w:r>
          </w:p>
        </w:tc>
        <w:tc>
          <w:tcPr>
            <w:tcW w:w="2160" w:type="dxa"/>
          </w:tcPr>
          <w:p w14:paraId="02282C3D" w14:textId="77777777" w:rsidR="00DB5282" w:rsidRDefault="00000000">
            <w:r>
              <w:t>Projected Revenue ($)</w:t>
            </w:r>
          </w:p>
        </w:tc>
        <w:tc>
          <w:tcPr>
            <w:tcW w:w="2160" w:type="dxa"/>
          </w:tcPr>
          <w:p w14:paraId="5A35C46D" w14:textId="77777777" w:rsidR="00DB5282" w:rsidRDefault="00000000">
            <w:r>
              <w:t>Projected Operating Expenses ($)</w:t>
            </w:r>
          </w:p>
        </w:tc>
        <w:tc>
          <w:tcPr>
            <w:tcW w:w="2160" w:type="dxa"/>
          </w:tcPr>
          <w:p w14:paraId="5BBD6024" w14:textId="77777777" w:rsidR="00DB5282" w:rsidRDefault="00000000">
            <w:r>
              <w:t>Projected Net Income ($)</w:t>
            </w:r>
          </w:p>
        </w:tc>
      </w:tr>
      <w:tr w:rsidR="00DB5282" w14:paraId="1663B369" w14:textId="77777777" w:rsidTr="00E26A65">
        <w:tc>
          <w:tcPr>
            <w:tcW w:w="2160" w:type="dxa"/>
          </w:tcPr>
          <w:p w14:paraId="1FD994EC" w14:textId="77777777" w:rsidR="00DB5282" w:rsidRDefault="00000000">
            <w:r>
              <w:t>2024</w:t>
            </w:r>
          </w:p>
        </w:tc>
        <w:tc>
          <w:tcPr>
            <w:tcW w:w="2160" w:type="dxa"/>
          </w:tcPr>
          <w:p w14:paraId="7932E04C" w14:textId="77777777" w:rsidR="00DB5282" w:rsidRDefault="00000000">
            <w:r>
              <w:t>1,367,520.00</w:t>
            </w:r>
          </w:p>
        </w:tc>
        <w:tc>
          <w:tcPr>
            <w:tcW w:w="2160" w:type="dxa"/>
          </w:tcPr>
          <w:p w14:paraId="2FD3B726" w14:textId="77777777" w:rsidR="00DB5282" w:rsidRDefault="00000000">
            <w:r>
              <w:t>918,000.00</w:t>
            </w:r>
          </w:p>
        </w:tc>
        <w:tc>
          <w:tcPr>
            <w:tcW w:w="2160" w:type="dxa"/>
          </w:tcPr>
          <w:p w14:paraId="68260A3D" w14:textId="77777777" w:rsidR="00DB5282" w:rsidRDefault="00000000">
            <w:r>
              <w:t>166,500.00</w:t>
            </w:r>
          </w:p>
        </w:tc>
      </w:tr>
      <w:tr w:rsidR="00DB5282" w14:paraId="408CC5C6" w14:textId="77777777" w:rsidTr="00E26A65">
        <w:tc>
          <w:tcPr>
            <w:tcW w:w="2160" w:type="dxa"/>
          </w:tcPr>
          <w:p w14:paraId="09E6702E" w14:textId="77777777" w:rsidR="00DB5282" w:rsidRDefault="00000000">
            <w:r>
              <w:t>2025</w:t>
            </w:r>
          </w:p>
        </w:tc>
        <w:tc>
          <w:tcPr>
            <w:tcW w:w="2160" w:type="dxa"/>
          </w:tcPr>
          <w:p w14:paraId="686A4E8E" w14:textId="77777777" w:rsidR="00DB5282" w:rsidRDefault="00000000">
            <w:r>
              <w:t>1,517,947.20</w:t>
            </w:r>
          </w:p>
        </w:tc>
        <w:tc>
          <w:tcPr>
            <w:tcW w:w="2160" w:type="dxa"/>
          </w:tcPr>
          <w:p w14:paraId="5154801E" w14:textId="77777777" w:rsidR="00DB5282" w:rsidRDefault="00000000">
            <w:r>
              <w:t>991,440.00</w:t>
            </w:r>
          </w:p>
        </w:tc>
        <w:tc>
          <w:tcPr>
            <w:tcW w:w="2160" w:type="dxa"/>
          </w:tcPr>
          <w:p w14:paraId="31C3D345" w14:textId="77777777" w:rsidR="00DB5282" w:rsidRDefault="00000000">
            <w:r>
              <w:t>184,815.00</w:t>
            </w:r>
          </w:p>
        </w:tc>
      </w:tr>
    </w:tbl>
    <w:p w14:paraId="738C103F" w14:textId="77777777" w:rsidR="00DB5282" w:rsidRDefault="00000000">
      <w:pPr>
        <w:pStyle w:val="Heading1"/>
      </w:pPr>
      <w:r>
        <w:t>4. Forecasting Methods</w:t>
      </w:r>
    </w:p>
    <w:p w14:paraId="5F58407D" w14:textId="77777777" w:rsidR="00DB5282" w:rsidRDefault="00000000">
      <w:r>
        <w:t>Trend Analysis was applied using an average historical revenue growth rate of 11%. Alternatively, the Moving Average Method was used by averaging the yearly growth percentages (10% and 12%), yielding an average of 11%. Both methods resulted in consistent projections, validating the reliability of the chosen technique. The consistent use of historical ratios also aided in maintaining realistic expense and net income forecasts.</w:t>
      </w:r>
    </w:p>
    <w:p w14:paraId="57AEE223" w14:textId="7838EDE2" w:rsidR="00DB5282" w:rsidRDefault="00000000">
      <w:pPr>
        <w:pStyle w:val="Heading1"/>
      </w:pPr>
      <w:r>
        <w:lastRenderedPageBreak/>
        <w:t xml:space="preserve">5. </w:t>
      </w:r>
      <w:r w:rsidR="00E26A65">
        <w:t>Key questions:</w:t>
      </w:r>
    </w:p>
    <w:p w14:paraId="2E7AD161" w14:textId="77777777" w:rsidR="00E26A65" w:rsidRDefault="00E26A65" w:rsidP="00E26A65">
      <w:proofErr w:type="spellStart"/>
      <w:r>
        <w:t>i</w:t>
      </w:r>
      <w:proofErr w:type="spellEnd"/>
      <w:r>
        <w:t>. Assumptions made:</w:t>
      </w:r>
      <w:r>
        <w:br/>
        <w:t>- Revenue will grow at the recent historical growth rate.</w:t>
      </w:r>
      <w:r>
        <w:br/>
        <w:t>- Expenses grow at a stable rate of 8% annually.</w:t>
      </w:r>
      <w:r>
        <w:br/>
        <w:t>- Net income remains proportionate to revenue, reflecting consistent margins.</w:t>
      </w:r>
    </w:p>
    <w:p w14:paraId="38BF4AE8" w14:textId="77777777" w:rsidR="00E26A65" w:rsidRDefault="00E26A65" w:rsidP="00E26A65">
      <w:r>
        <w:t>ii. Limitations of historical trends:</w:t>
      </w:r>
      <w:r>
        <w:br/>
        <w:t>- They do not account for unexpected events like market disruptions.</w:t>
      </w:r>
      <w:r>
        <w:br/>
        <w:t>- They assume constant growth, which may not reflect actual future performance.</w:t>
      </w:r>
    </w:p>
    <w:p w14:paraId="1DA989DD" w14:textId="77777777" w:rsidR="00E26A65" w:rsidRDefault="00E26A65" w:rsidP="00E26A65">
      <w:r>
        <w:t>iii. Impact of external factors:</w:t>
      </w:r>
      <w:r>
        <w:br/>
        <w:t>- Economic downturns, regulatory changes, and new competitors could alter performance dramatically.</w:t>
      </w:r>
    </w:p>
    <w:p w14:paraId="0C1AA620" w14:textId="77777777" w:rsidR="00E26A65" w:rsidRDefault="00E26A65" w:rsidP="00E26A65">
      <w:r>
        <w:t>iv. Use in expansion:</w:t>
      </w:r>
      <w:r>
        <w:br/>
        <w:t>- Financial projections are vital for planning capital allocation, estimating funding needs, and assessing the feasibility of scaling operations.</w:t>
      </w:r>
    </w:p>
    <w:p w14:paraId="33996152" w14:textId="77777777" w:rsidR="00DB5282" w:rsidRDefault="00000000">
      <w:pPr>
        <w:pStyle w:val="Heading1"/>
      </w:pPr>
      <w:r>
        <w:t>6. Conclusion</w:t>
      </w:r>
    </w:p>
    <w:p w14:paraId="1E3748CE" w14:textId="77777777" w:rsidR="00DB5282" w:rsidRDefault="00000000">
      <w:r>
        <w:t>This report provides financial projections for GreenTech Solutions based on historical trends and logical assumptions. It highlights the importance of using both quantitative data and strategic insight for decision-making. Although historical performance is a good indicator, it is essential to consider dynamic market conditions when planning for the future.</w:t>
      </w:r>
    </w:p>
    <w:p w14:paraId="49F0BB49" w14:textId="77777777" w:rsidR="00DB5282" w:rsidRDefault="00000000">
      <w:pPr>
        <w:pStyle w:val="Heading1"/>
      </w:pPr>
      <w:r>
        <w:t>7. References</w:t>
      </w:r>
    </w:p>
    <w:p w14:paraId="334DBF0E" w14:textId="22C53D54" w:rsidR="00DB5282" w:rsidRDefault="00000000">
      <w:r>
        <w:t xml:space="preserve">Investopedia. (n.d.). Financial Forecasting. Retrieved from </w:t>
      </w:r>
      <w:r w:rsidR="00E26A65">
        <w:t xml:space="preserve"> </w:t>
      </w:r>
      <w:hyperlink r:id="rId6" w:history="1">
        <w:r w:rsidR="00E26A65" w:rsidRPr="00565FF9">
          <w:rPr>
            <w:rStyle w:val="Hyperlink"/>
          </w:rPr>
          <w:t>https://www.investopedia.com/terms/f/financialforecast.asp</w:t>
        </w:r>
      </w:hyperlink>
      <w:r w:rsidR="00E26A65">
        <w:t xml:space="preserve"> </w:t>
      </w:r>
    </w:p>
    <w:sectPr w:rsidR="00DB52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2046045">
    <w:abstractNumId w:val="8"/>
  </w:num>
  <w:num w:numId="2" w16cid:durableId="427238351">
    <w:abstractNumId w:val="6"/>
  </w:num>
  <w:num w:numId="3" w16cid:durableId="1134953722">
    <w:abstractNumId w:val="5"/>
  </w:num>
  <w:num w:numId="4" w16cid:durableId="239757463">
    <w:abstractNumId w:val="4"/>
  </w:num>
  <w:num w:numId="5" w16cid:durableId="864949343">
    <w:abstractNumId w:val="7"/>
  </w:num>
  <w:num w:numId="6" w16cid:durableId="1356223945">
    <w:abstractNumId w:val="3"/>
  </w:num>
  <w:num w:numId="7" w16cid:durableId="1256860605">
    <w:abstractNumId w:val="2"/>
  </w:num>
  <w:num w:numId="8" w16cid:durableId="280381697">
    <w:abstractNumId w:val="1"/>
  </w:num>
  <w:num w:numId="9" w16cid:durableId="133368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1A01"/>
    <w:rsid w:val="0029639D"/>
    <w:rsid w:val="00326F90"/>
    <w:rsid w:val="00AA1D8D"/>
    <w:rsid w:val="00B47730"/>
    <w:rsid w:val="00CB0664"/>
    <w:rsid w:val="00DB5282"/>
    <w:rsid w:val="00E26A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D89CF"/>
  <w14:defaultImageDpi w14:val="300"/>
  <w15:docId w15:val="{C21DFAA6-0B75-4886-930A-1FF69EF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26A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A65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99"/>
    <w:rsid w:val="00E26A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E26A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E26A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99"/>
    <w:rsid w:val="00E26A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vestopedia.com/terms/f/financialforecast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Kolchuma Begum</cp:lastModifiedBy>
  <cp:revision>2</cp:revision>
  <dcterms:created xsi:type="dcterms:W3CDTF">2025-05-23T17:58:00Z</dcterms:created>
  <dcterms:modified xsi:type="dcterms:W3CDTF">2025-05-23T17:58:00Z</dcterms:modified>
  <cp:category/>
</cp:coreProperties>
</file>