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8D7D" w14:textId="77777777" w:rsidR="00357EF0" w:rsidRDefault="00000000" w:rsidP="00B32512">
      <w:pPr>
        <w:pStyle w:val="Title"/>
        <w:jc w:val="center"/>
      </w:pPr>
      <w:r>
        <w:t>Urban Café – Financial Forecast Report</w:t>
      </w:r>
    </w:p>
    <w:p w14:paraId="7C1BB585" w14:textId="77777777" w:rsidR="00357EF0" w:rsidRDefault="00000000">
      <w:r>
        <w:t>As a financial analyst for Urban Café, a growing chain of coffee shops, the management is planning for the next fiscal year and requires a detailed budget and financial forecast model to estimate future revenue, costs, and profitability. This report outlines a budget for the next year and extends it into a three-year forecast, using standard assumptions.</w:t>
      </w:r>
    </w:p>
    <w:p w14:paraId="4E0FA999" w14:textId="77777777" w:rsidR="00357EF0" w:rsidRDefault="00000000">
      <w:pPr>
        <w:pStyle w:val="Heading1"/>
      </w:pPr>
      <w:r>
        <w:t>1. Budget Model (2024)</w:t>
      </w:r>
    </w:p>
    <w:p w14:paraId="49EA3D34" w14:textId="77777777" w:rsidR="00357EF0" w:rsidRDefault="00000000">
      <w:r>
        <w:t>Assumptions:</w:t>
      </w:r>
    </w:p>
    <w:p w14:paraId="3A3ADFF0" w14:textId="77777777" w:rsidR="00357EF0" w:rsidRDefault="00000000">
      <w:r>
        <w:t>- Sales Growth: 10% per year</w:t>
      </w:r>
      <w:r>
        <w:br/>
        <w:t>- COGS as a Percentage of Sales: 40%</w:t>
      </w:r>
      <w:r>
        <w:br/>
        <w:t>- Operating Expenses Growth Rate: 5% per year</w:t>
      </w:r>
    </w:p>
    <w:p w14:paraId="7FADD12D" w14:textId="77777777" w:rsidR="00357EF0" w:rsidRDefault="00000000">
      <w:r>
        <w:t>Projections for 2024:</w:t>
      </w:r>
    </w:p>
    <w:p w14:paraId="4A3EA721" w14:textId="77777777" w:rsidR="00357EF0" w:rsidRDefault="00000000">
      <w:r>
        <w:t>Revenue = $500,000 × 1.10 = $550,000</w:t>
      </w:r>
    </w:p>
    <w:p w14:paraId="609E7986" w14:textId="77777777" w:rsidR="00357EF0" w:rsidRDefault="00000000">
      <w:r>
        <w:t>COGS = 40% of $550,000 = $220,000</w:t>
      </w:r>
    </w:p>
    <w:p w14:paraId="3AA8F008" w14:textId="77777777" w:rsidR="00357EF0" w:rsidRDefault="00000000">
      <w:r>
        <w:t>Operating Expenses = $150,000 × 1.05 = $157,500</w:t>
      </w:r>
    </w:p>
    <w:p w14:paraId="7E0D4163" w14:textId="77777777" w:rsidR="00357EF0" w:rsidRDefault="00000000">
      <w:r>
        <w:t>Net Profit = $550,000 − ($220,000 + $157,500) = $172,500</w:t>
      </w:r>
    </w:p>
    <w:p w14:paraId="5D92750A" w14:textId="77777777" w:rsidR="00357EF0" w:rsidRDefault="00000000">
      <w:pPr>
        <w:pStyle w:val="Heading1"/>
      </w:pPr>
      <w:r>
        <w:t>2. Three-Year Forecast (2024–2026)</w:t>
      </w:r>
    </w:p>
    <w:tbl>
      <w:tblPr>
        <w:tblStyle w:val="LightGrid-Accent1"/>
        <w:tblW w:w="0" w:type="auto"/>
        <w:tblLook w:val="04A0" w:firstRow="1" w:lastRow="0" w:firstColumn="1" w:lastColumn="0" w:noHBand="0" w:noVBand="1"/>
      </w:tblPr>
      <w:tblGrid>
        <w:gridCol w:w="1723"/>
        <w:gridCol w:w="1724"/>
        <w:gridCol w:w="1724"/>
        <w:gridCol w:w="1725"/>
        <w:gridCol w:w="1724"/>
      </w:tblGrid>
      <w:tr w:rsidR="00357EF0" w14:paraId="59576532" w14:textId="77777777" w:rsidTr="00357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6A0E70F" w14:textId="77777777" w:rsidR="00357EF0" w:rsidRDefault="00000000">
            <w:r>
              <w:t>Year</w:t>
            </w:r>
          </w:p>
        </w:tc>
        <w:tc>
          <w:tcPr>
            <w:tcW w:w="1728" w:type="dxa"/>
          </w:tcPr>
          <w:p w14:paraId="75CD0FE6" w14:textId="77777777" w:rsidR="00357EF0" w:rsidRDefault="00000000">
            <w:pPr>
              <w:cnfStyle w:val="100000000000" w:firstRow="1" w:lastRow="0" w:firstColumn="0" w:lastColumn="0" w:oddVBand="0" w:evenVBand="0" w:oddHBand="0" w:evenHBand="0" w:firstRowFirstColumn="0" w:firstRowLastColumn="0" w:lastRowFirstColumn="0" w:lastRowLastColumn="0"/>
            </w:pPr>
            <w:r>
              <w:t>Projected Revenue ($)</w:t>
            </w:r>
          </w:p>
        </w:tc>
        <w:tc>
          <w:tcPr>
            <w:tcW w:w="1728" w:type="dxa"/>
          </w:tcPr>
          <w:p w14:paraId="56E7E882" w14:textId="77777777" w:rsidR="00357EF0" w:rsidRDefault="00000000">
            <w:pPr>
              <w:cnfStyle w:val="100000000000" w:firstRow="1" w:lastRow="0" w:firstColumn="0" w:lastColumn="0" w:oddVBand="0" w:evenVBand="0" w:oddHBand="0" w:evenHBand="0" w:firstRowFirstColumn="0" w:firstRowLastColumn="0" w:lastRowFirstColumn="0" w:lastRowLastColumn="0"/>
            </w:pPr>
            <w:r>
              <w:t>Projected COGS ($)</w:t>
            </w:r>
          </w:p>
        </w:tc>
        <w:tc>
          <w:tcPr>
            <w:tcW w:w="1728" w:type="dxa"/>
          </w:tcPr>
          <w:p w14:paraId="19CFAA1B" w14:textId="77777777" w:rsidR="00357EF0" w:rsidRDefault="00000000">
            <w:pPr>
              <w:cnfStyle w:val="100000000000" w:firstRow="1" w:lastRow="0" w:firstColumn="0" w:lastColumn="0" w:oddVBand="0" w:evenVBand="0" w:oddHBand="0" w:evenHBand="0" w:firstRowFirstColumn="0" w:firstRowLastColumn="0" w:lastRowFirstColumn="0" w:lastRowLastColumn="0"/>
            </w:pPr>
            <w:r>
              <w:t>Projected Operating Expenses ($)</w:t>
            </w:r>
          </w:p>
        </w:tc>
        <w:tc>
          <w:tcPr>
            <w:tcW w:w="1728" w:type="dxa"/>
          </w:tcPr>
          <w:p w14:paraId="4EBD9058" w14:textId="77777777" w:rsidR="00357EF0" w:rsidRDefault="00000000">
            <w:pPr>
              <w:cnfStyle w:val="100000000000" w:firstRow="1" w:lastRow="0" w:firstColumn="0" w:lastColumn="0" w:oddVBand="0" w:evenVBand="0" w:oddHBand="0" w:evenHBand="0" w:firstRowFirstColumn="0" w:firstRowLastColumn="0" w:lastRowFirstColumn="0" w:lastRowLastColumn="0"/>
            </w:pPr>
            <w:r>
              <w:t>Projected Net Profit ($)</w:t>
            </w:r>
          </w:p>
        </w:tc>
      </w:tr>
      <w:tr w:rsidR="00357EF0" w14:paraId="0F302BF2" w14:textId="77777777" w:rsidTr="0035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8D21838" w14:textId="77777777" w:rsidR="00357EF0" w:rsidRDefault="00000000">
            <w:r>
              <w:t>2024</w:t>
            </w:r>
          </w:p>
        </w:tc>
        <w:tc>
          <w:tcPr>
            <w:tcW w:w="1728" w:type="dxa"/>
          </w:tcPr>
          <w:p w14:paraId="7EF7C2C7" w14:textId="77777777" w:rsidR="00357EF0" w:rsidRDefault="00000000">
            <w:pPr>
              <w:cnfStyle w:val="000000100000" w:firstRow="0" w:lastRow="0" w:firstColumn="0" w:lastColumn="0" w:oddVBand="0" w:evenVBand="0" w:oddHBand="1" w:evenHBand="0" w:firstRowFirstColumn="0" w:firstRowLastColumn="0" w:lastRowFirstColumn="0" w:lastRowLastColumn="0"/>
            </w:pPr>
            <w:r>
              <w:t>550,000</w:t>
            </w:r>
          </w:p>
        </w:tc>
        <w:tc>
          <w:tcPr>
            <w:tcW w:w="1728" w:type="dxa"/>
          </w:tcPr>
          <w:p w14:paraId="01F85378" w14:textId="77777777" w:rsidR="00357EF0" w:rsidRDefault="00000000">
            <w:pPr>
              <w:cnfStyle w:val="000000100000" w:firstRow="0" w:lastRow="0" w:firstColumn="0" w:lastColumn="0" w:oddVBand="0" w:evenVBand="0" w:oddHBand="1" w:evenHBand="0" w:firstRowFirstColumn="0" w:firstRowLastColumn="0" w:lastRowFirstColumn="0" w:lastRowLastColumn="0"/>
            </w:pPr>
            <w:r>
              <w:t>220,000</w:t>
            </w:r>
          </w:p>
        </w:tc>
        <w:tc>
          <w:tcPr>
            <w:tcW w:w="1728" w:type="dxa"/>
          </w:tcPr>
          <w:p w14:paraId="2EA6C9C8" w14:textId="77777777" w:rsidR="00357EF0" w:rsidRDefault="00000000">
            <w:pPr>
              <w:cnfStyle w:val="000000100000" w:firstRow="0" w:lastRow="0" w:firstColumn="0" w:lastColumn="0" w:oddVBand="0" w:evenVBand="0" w:oddHBand="1" w:evenHBand="0" w:firstRowFirstColumn="0" w:firstRowLastColumn="0" w:lastRowFirstColumn="0" w:lastRowLastColumn="0"/>
            </w:pPr>
            <w:r>
              <w:t>157,500</w:t>
            </w:r>
          </w:p>
        </w:tc>
        <w:tc>
          <w:tcPr>
            <w:tcW w:w="1728" w:type="dxa"/>
          </w:tcPr>
          <w:p w14:paraId="4F97D76C" w14:textId="77777777" w:rsidR="00357EF0" w:rsidRDefault="00000000">
            <w:pPr>
              <w:cnfStyle w:val="000000100000" w:firstRow="0" w:lastRow="0" w:firstColumn="0" w:lastColumn="0" w:oddVBand="0" w:evenVBand="0" w:oddHBand="1" w:evenHBand="0" w:firstRowFirstColumn="0" w:firstRowLastColumn="0" w:lastRowFirstColumn="0" w:lastRowLastColumn="0"/>
            </w:pPr>
            <w:r>
              <w:t>172,500</w:t>
            </w:r>
          </w:p>
        </w:tc>
      </w:tr>
      <w:tr w:rsidR="00357EF0" w14:paraId="2237CE65" w14:textId="77777777" w:rsidTr="00357E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461290FF" w14:textId="77777777" w:rsidR="00357EF0" w:rsidRDefault="00000000">
            <w:r>
              <w:t>2025</w:t>
            </w:r>
          </w:p>
        </w:tc>
        <w:tc>
          <w:tcPr>
            <w:tcW w:w="1728" w:type="dxa"/>
          </w:tcPr>
          <w:p w14:paraId="51515550" w14:textId="77777777" w:rsidR="00357EF0" w:rsidRDefault="00000000">
            <w:pPr>
              <w:cnfStyle w:val="000000010000" w:firstRow="0" w:lastRow="0" w:firstColumn="0" w:lastColumn="0" w:oddVBand="0" w:evenVBand="0" w:oddHBand="0" w:evenHBand="1" w:firstRowFirstColumn="0" w:firstRowLastColumn="0" w:lastRowFirstColumn="0" w:lastRowLastColumn="0"/>
            </w:pPr>
            <w:r>
              <w:t>605,000</w:t>
            </w:r>
          </w:p>
        </w:tc>
        <w:tc>
          <w:tcPr>
            <w:tcW w:w="1728" w:type="dxa"/>
          </w:tcPr>
          <w:p w14:paraId="3842AD43" w14:textId="77777777" w:rsidR="00357EF0" w:rsidRDefault="00000000">
            <w:pPr>
              <w:cnfStyle w:val="000000010000" w:firstRow="0" w:lastRow="0" w:firstColumn="0" w:lastColumn="0" w:oddVBand="0" w:evenVBand="0" w:oddHBand="0" w:evenHBand="1" w:firstRowFirstColumn="0" w:firstRowLastColumn="0" w:lastRowFirstColumn="0" w:lastRowLastColumn="0"/>
            </w:pPr>
            <w:r>
              <w:t>242,000</w:t>
            </w:r>
          </w:p>
        </w:tc>
        <w:tc>
          <w:tcPr>
            <w:tcW w:w="1728" w:type="dxa"/>
          </w:tcPr>
          <w:p w14:paraId="70FDBCF4" w14:textId="77777777" w:rsidR="00357EF0" w:rsidRDefault="00000000">
            <w:pPr>
              <w:cnfStyle w:val="000000010000" w:firstRow="0" w:lastRow="0" w:firstColumn="0" w:lastColumn="0" w:oddVBand="0" w:evenVBand="0" w:oddHBand="0" w:evenHBand="1" w:firstRowFirstColumn="0" w:firstRowLastColumn="0" w:lastRowFirstColumn="0" w:lastRowLastColumn="0"/>
            </w:pPr>
            <w:r>
              <w:t>165,375</w:t>
            </w:r>
          </w:p>
        </w:tc>
        <w:tc>
          <w:tcPr>
            <w:tcW w:w="1728" w:type="dxa"/>
          </w:tcPr>
          <w:p w14:paraId="5146BFC5" w14:textId="77777777" w:rsidR="00357EF0" w:rsidRDefault="00000000">
            <w:pPr>
              <w:cnfStyle w:val="000000010000" w:firstRow="0" w:lastRow="0" w:firstColumn="0" w:lastColumn="0" w:oddVBand="0" w:evenVBand="0" w:oddHBand="0" w:evenHBand="1" w:firstRowFirstColumn="0" w:firstRowLastColumn="0" w:lastRowFirstColumn="0" w:lastRowLastColumn="0"/>
            </w:pPr>
            <w:r>
              <w:t>197,625</w:t>
            </w:r>
          </w:p>
        </w:tc>
      </w:tr>
      <w:tr w:rsidR="00357EF0" w14:paraId="1E399D1E" w14:textId="77777777" w:rsidTr="00357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1F5CCC3" w14:textId="77777777" w:rsidR="00357EF0" w:rsidRDefault="00000000">
            <w:r>
              <w:t>2026</w:t>
            </w:r>
          </w:p>
        </w:tc>
        <w:tc>
          <w:tcPr>
            <w:tcW w:w="1728" w:type="dxa"/>
          </w:tcPr>
          <w:p w14:paraId="5DBD2709" w14:textId="77777777" w:rsidR="00357EF0" w:rsidRDefault="00000000">
            <w:pPr>
              <w:cnfStyle w:val="000000100000" w:firstRow="0" w:lastRow="0" w:firstColumn="0" w:lastColumn="0" w:oddVBand="0" w:evenVBand="0" w:oddHBand="1" w:evenHBand="0" w:firstRowFirstColumn="0" w:firstRowLastColumn="0" w:lastRowFirstColumn="0" w:lastRowLastColumn="0"/>
            </w:pPr>
            <w:r>
              <w:t>665,500</w:t>
            </w:r>
          </w:p>
        </w:tc>
        <w:tc>
          <w:tcPr>
            <w:tcW w:w="1728" w:type="dxa"/>
          </w:tcPr>
          <w:p w14:paraId="3C8F6813" w14:textId="77777777" w:rsidR="00357EF0" w:rsidRDefault="00000000">
            <w:pPr>
              <w:cnfStyle w:val="000000100000" w:firstRow="0" w:lastRow="0" w:firstColumn="0" w:lastColumn="0" w:oddVBand="0" w:evenVBand="0" w:oddHBand="1" w:evenHBand="0" w:firstRowFirstColumn="0" w:firstRowLastColumn="0" w:lastRowFirstColumn="0" w:lastRowLastColumn="0"/>
            </w:pPr>
            <w:r>
              <w:t>266,200</w:t>
            </w:r>
          </w:p>
        </w:tc>
        <w:tc>
          <w:tcPr>
            <w:tcW w:w="1728" w:type="dxa"/>
          </w:tcPr>
          <w:p w14:paraId="649878A4" w14:textId="77777777" w:rsidR="00357EF0" w:rsidRDefault="00000000">
            <w:pPr>
              <w:cnfStyle w:val="000000100000" w:firstRow="0" w:lastRow="0" w:firstColumn="0" w:lastColumn="0" w:oddVBand="0" w:evenVBand="0" w:oddHBand="1" w:evenHBand="0" w:firstRowFirstColumn="0" w:firstRowLastColumn="0" w:lastRowFirstColumn="0" w:lastRowLastColumn="0"/>
            </w:pPr>
            <w:r>
              <w:t>173,644</w:t>
            </w:r>
          </w:p>
        </w:tc>
        <w:tc>
          <w:tcPr>
            <w:tcW w:w="1728" w:type="dxa"/>
          </w:tcPr>
          <w:p w14:paraId="48592051" w14:textId="77777777" w:rsidR="00357EF0" w:rsidRDefault="00000000">
            <w:pPr>
              <w:cnfStyle w:val="000000100000" w:firstRow="0" w:lastRow="0" w:firstColumn="0" w:lastColumn="0" w:oddVBand="0" w:evenVBand="0" w:oddHBand="1" w:evenHBand="0" w:firstRowFirstColumn="0" w:firstRowLastColumn="0" w:lastRowFirstColumn="0" w:lastRowLastColumn="0"/>
            </w:pPr>
            <w:r>
              <w:t>225,656</w:t>
            </w:r>
          </w:p>
        </w:tc>
      </w:tr>
    </w:tbl>
    <w:p w14:paraId="234D4BA3" w14:textId="77777777" w:rsidR="00357EF0" w:rsidRDefault="00000000">
      <w:pPr>
        <w:pStyle w:val="Heading1"/>
      </w:pPr>
      <w:r>
        <w:t>3. Strategic Insights and Forecast Implications</w:t>
      </w:r>
    </w:p>
    <w:p w14:paraId="675B677B" w14:textId="77777777" w:rsidR="00357EF0" w:rsidRDefault="00000000">
      <w:pPr>
        <w:pStyle w:val="Heading2"/>
      </w:pPr>
      <w:r>
        <w:t>a) Insights from the Budget and Forecast:</w:t>
      </w:r>
    </w:p>
    <w:p w14:paraId="389DCD86" w14:textId="77777777" w:rsidR="00357EF0" w:rsidRDefault="00000000">
      <w:r>
        <w:t>The forecast indicates consistent growth in revenue and profitability, suggesting strong financial performance under current assumptions. Margins improve slightly due to controlled growth in expenses.</w:t>
      </w:r>
    </w:p>
    <w:p w14:paraId="18E2607A" w14:textId="77777777" w:rsidR="00357EF0" w:rsidRDefault="00000000">
      <w:pPr>
        <w:pStyle w:val="Heading2"/>
      </w:pPr>
      <w:r>
        <w:lastRenderedPageBreak/>
        <w:t>b) Impact of Growth on Profitability:</w:t>
      </w:r>
    </w:p>
    <w:p w14:paraId="3F9BF725" w14:textId="77777777" w:rsidR="00357EF0" w:rsidRDefault="00000000">
      <w:r>
        <w:t>Profitability increases as revenue compounds annually while costs grow at a slower rate. This drives widening profit margins over the forecast period.</w:t>
      </w:r>
    </w:p>
    <w:p w14:paraId="5D652393" w14:textId="77777777" w:rsidR="00357EF0" w:rsidRDefault="00000000">
      <w:pPr>
        <w:pStyle w:val="Heading2"/>
      </w:pPr>
      <w:r>
        <w:t>c) Real-World Assumption Sensitivities:</w:t>
      </w:r>
    </w:p>
    <w:p w14:paraId="0C12B624" w14:textId="77777777" w:rsidR="00357EF0" w:rsidRDefault="00000000">
      <w:r>
        <w:t>Unexpected changes such as inflation, rent increases, or supply chain disruptions could affect COGS and operating expenses, reducing accuracy of the forecast. The model should be updated frequently to reflect such changes.</w:t>
      </w:r>
    </w:p>
    <w:p w14:paraId="44E24098" w14:textId="77777777" w:rsidR="00357EF0" w:rsidRDefault="00000000">
      <w:pPr>
        <w:pStyle w:val="Heading2"/>
      </w:pPr>
      <w:r>
        <w:t>d) Expansion and Strategic Decision-Making:</w:t>
      </w:r>
    </w:p>
    <w:p w14:paraId="36D4E5EE" w14:textId="77777777" w:rsidR="00357EF0" w:rsidRDefault="00000000">
      <w:r>
        <w:t>This model serves as a benchmark for evaluating new location feasibility. By comparing expected returns to historical profitability, it aids management in making data-driven expansion decisions.</w:t>
      </w:r>
    </w:p>
    <w:p w14:paraId="2085A5B8" w14:textId="77777777" w:rsidR="00357EF0" w:rsidRDefault="00000000">
      <w:pPr>
        <w:pStyle w:val="Heading1"/>
      </w:pPr>
      <w:r>
        <w:t>Conclusion</w:t>
      </w:r>
    </w:p>
    <w:p w14:paraId="4233378B" w14:textId="77777777" w:rsidR="00357EF0" w:rsidRDefault="00000000">
      <w:r>
        <w:t>The financial forecast developed for Urban Café shows positive trends in revenue and net profit over the next three years, under current assumptions. It offers valuable insights for budgeting and planning, and provides a solid base for expansion decisions, assuming continued control of costs.</w:t>
      </w:r>
    </w:p>
    <w:p w14:paraId="41E6B613" w14:textId="77777777" w:rsidR="00357EF0" w:rsidRDefault="00000000">
      <w:pPr>
        <w:pStyle w:val="Heading1"/>
      </w:pPr>
      <w:r>
        <w:t>References</w:t>
      </w:r>
    </w:p>
    <w:p w14:paraId="3CEA1A77" w14:textId="77777777" w:rsidR="00B32512" w:rsidRPr="00B32512" w:rsidRDefault="00B32512" w:rsidP="00B32512"/>
    <w:p w14:paraId="0D092FB9" w14:textId="77777777" w:rsidR="00B32512" w:rsidRDefault="00000000" w:rsidP="00B32512">
      <w:pPr>
        <w:pStyle w:val="NoSpacing"/>
      </w:pPr>
      <w:r>
        <w:t>Investopedia. (2024). *Cost of Goods Sold (COGS) Explained.*</w:t>
      </w:r>
      <w:r w:rsidR="00B32512">
        <w:t xml:space="preserve"> </w:t>
      </w:r>
      <w:hyperlink r:id="rId6" w:history="1">
        <w:r w:rsidR="00B32512" w:rsidRPr="00B32512">
          <w:rPr>
            <w:rStyle w:val="Hyperlink"/>
          </w:rPr>
          <w:t>Cost of Goods Sold (COGS) Explained With Methods to Calculate It</w:t>
        </w:r>
      </w:hyperlink>
      <w:r>
        <w:br/>
      </w:r>
    </w:p>
    <w:p w14:paraId="4AE3C3EE" w14:textId="3864C5E8" w:rsidR="00357EF0" w:rsidRDefault="00000000" w:rsidP="00B32512">
      <w:pPr>
        <w:pStyle w:val="NoSpacing"/>
      </w:pPr>
      <w:r>
        <w:t>AccountingTools. (2024). *Operating Expense Growth Modeling.*</w:t>
      </w:r>
      <w:r w:rsidR="00B32512">
        <w:t xml:space="preserve"> </w:t>
      </w:r>
      <w:hyperlink r:id="rId7" w:history="1">
        <w:r w:rsidR="00B32512" w:rsidRPr="00B32512">
          <w:rPr>
            <w:rStyle w:val="Hyperlink"/>
          </w:rPr>
          <w:t>Operating Expense (OpEx) Definition and Examples</w:t>
        </w:r>
      </w:hyperlink>
    </w:p>
    <w:sectPr w:rsidR="00357EF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268371">
    <w:abstractNumId w:val="8"/>
  </w:num>
  <w:num w:numId="2" w16cid:durableId="1676037174">
    <w:abstractNumId w:val="6"/>
  </w:num>
  <w:num w:numId="3" w16cid:durableId="704790700">
    <w:abstractNumId w:val="5"/>
  </w:num>
  <w:num w:numId="4" w16cid:durableId="1583638839">
    <w:abstractNumId w:val="4"/>
  </w:num>
  <w:num w:numId="5" w16cid:durableId="903375449">
    <w:abstractNumId w:val="7"/>
  </w:num>
  <w:num w:numId="6" w16cid:durableId="340862738">
    <w:abstractNumId w:val="3"/>
  </w:num>
  <w:num w:numId="7" w16cid:durableId="107744331">
    <w:abstractNumId w:val="2"/>
  </w:num>
  <w:num w:numId="8" w16cid:durableId="1944263537">
    <w:abstractNumId w:val="1"/>
  </w:num>
  <w:num w:numId="9" w16cid:durableId="31013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57EF0"/>
    <w:rsid w:val="00AA1D8D"/>
    <w:rsid w:val="00B32512"/>
    <w:rsid w:val="00B47730"/>
    <w:rsid w:val="00C518B7"/>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52CA4"/>
  <w14:defaultImageDpi w14:val="300"/>
  <w15:docId w15:val="{BE752704-CB7B-475B-8932-03C2DF58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32512"/>
    <w:rPr>
      <w:color w:val="0000FF" w:themeColor="hyperlink"/>
      <w:u w:val="single"/>
    </w:rPr>
  </w:style>
  <w:style w:type="character" w:styleId="UnresolvedMention">
    <w:name w:val="Unresolved Mention"/>
    <w:basedOn w:val="DefaultParagraphFont"/>
    <w:uiPriority w:val="99"/>
    <w:semiHidden/>
    <w:unhideWhenUsed/>
    <w:rsid w:val="00B32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vestopedia.com/terms/o/operating_expense.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vestopedia.com/terms/c/cogs.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2025-06-16T20:27:00Z</dcterms:created>
  <dcterms:modified xsi:type="dcterms:W3CDTF">2025-06-16T20:27:00Z</dcterms:modified>
  <cp:category/>
</cp:coreProperties>
</file>