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7FDE" w14:textId="6425BF2C" w:rsidR="003C6D2B" w:rsidRPr="00E113BE" w:rsidRDefault="00000000" w:rsidP="00E113BE">
      <w:pPr>
        <w:pStyle w:val="Title"/>
        <w:jc w:val="center"/>
        <w:rPr>
          <w:sz w:val="44"/>
          <w:szCs w:val="44"/>
        </w:rPr>
      </w:pPr>
      <w:r w:rsidRPr="00E113BE">
        <w:rPr>
          <w:sz w:val="44"/>
          <w:szCs w:val="44"/>
        </w:rPr>
        <w:t>I</w:t>
      </w:r>
      <w:r w:rsidR="00E113BE" w:rsidRPr="00E113BE">
        <w:rPr>
          <w:sz w:val="44"/>
          <w:szCs w:val="44"/>
        </w:rPr>
        <w:t>nternal memo - I</w:t>
      </w:r>
      <w:r w:rsidRPr="00E113BE">
        <w:rPr>
          <w:sz w:val="44"/>
          <w:szCs w:val="44"/>
        </w:rPr>
        <w:t>nvestment Appraisal Report</w:t>
      </w:r>
    </w:p>
    <w:p w14:paraId="54895B30" w14:textId="77777777" w:rsidR="003C6D2B" w:rsidRDefault="00000000">
      <w:pPr>
        <w:pStyle w:val="Heading1"/>
      </w:pPr>
      <w:r>
        <w:t>Executive Summary</w:t>
      </w:r>
    </w:p>
    <w:p w14:paraId="347C1DB9" w14:textId="77777777" w:rsidR="003C6D2B" w:rsidRDefault="00000000">
      <w:r>
        <w:t>This report presents an investment appraisal analysis for two sustainable construction projects: Project A – Green Office Tower, and Project B – Net-Zero Community Housing. The objective is to assess their financial viability and strategic alignment with the firm's sustainability goals. The analysis includes NPV, IRR, Payback Period, and Net Return Value, alongside qualitative ESG and brand considerations.</w:t>
      </w:r>
    </w:p>
    <w:p w14:paraId="29288F9F" w14:textId="77777777" w:rsidR="009736B2" w:rsidRPr="009736B2" w:rsidRDefault="009736B2" w:rsidP="009736B2">
      <w:pPr>
        <w:rPr>
          <w:b/>
          <w:bCs/>
          <w:color w:val="1F497D" w:themeColor="text2"/>
          <w:lang w:val="en-GB"/>
        </w:rPr>
      </w:pPr>
      <w:r w:rsidRPr="009736B2">
        <w:rPr>
          <w:b/>
          <w:bCs/>
          <w:color w:val="1F497D" w:themeColor="text2"/>
          <w:lang w:val="en-GB"/>
        </w:rPr>
        <w:t>Capital Budgeting Calculations</w:t>
      </w:r>
    </w:p>
    <w:p w14:paraId="141A8D1F" w14:textId="77777777" w:rsidR="009736B2" w:rsidRPr="009736B2" w:rsidRDefault="009736B2" w:rsidP="009736B2">
      <w:pPr>
        <w:rPr>
          <w:b/>
          <w:bCs/>
          <w:lang w:val="en-GB"/>
        </w:rPr>
      </w:pPr>
      <w:r w:rsidRPr="009736B2">
        <w:rPr>
          <w:b/>
          <w:bCs/>
          <w:lang w:val="en-GB"/>
        </w:rPr>
        <w:t>Project A – Green Office Tower</w:t>
      </w:r>
    </w:p>
    <w:p w14:paraId="59A4A73E" w14:textId="77777777" w:rsidR="009736B2" w:rsidRPr="009736B2" w:rsidRDefault="009736B2" w:rsidP="009736B2">
      <w:pPr>
        <w:numPr>
          <w:ilvl w:val="0"/>
          <w:numId w:val="10"/>
        </w:numPr>
        <w:rPr>
          <w:lang w:val="en-GB"/>
        </w:rPr>
      </w:pPr>
      <w:r w:rsidRPr="009736B2">
        <w:rPr>
          <w:b/>
          <w:bCs/>
          <w:lang w:val="en-GB"/>
        </w:rPr>
        <w:t>Cash Flows</w:t>
      </w:r>
      <w:r w:rsidRPr="009736B2">
        <w:rPr>
          <w:lang w:val="en-GB"/>
        </w:rPr>
        <w:t>:</w:t>
      </w:r>
      <w:r w:rsidRPr="009736B2">
        <w:rPr>
          <w:lang w:val="en-GB"/>
        </w:rPr>
        <w:br/>
        <w:t>Year 0: -£500,000</w:t>
      </w:r>
      <w:r w:rsidRPr="009736B2">
        <w:rPr>
          <w:lang w:val="en-GB"/>
        </w:rPr>
        <w:br/>
        <w:t>Year 1: £150,000</w:t>
      </w:r>
      <w:r w:rsidRPr="009736B2">
        <w:rPr>
          <w:lang w:val="en-GB"/>
        </w:rPr>
        <w:br/>
        <w:t>Year 2: £160,000</w:t>
      </w:r>
      <w:r w:rsidRPr="009736B2">
        <w:rPr>
          <w:lang w:val="en-GB"/>
        </w:rPr>
        <w:br/>
        <w:t>Year 3: £170,000</w:t>
      </w:r>
      <w:r w:rsidRPr="009736B2">
        <w:rPr>
          <w:lang w:val="en-GB"/>
        </w:rPr>
        <w:br/>
        <w:t>Year 4: £180,000</w:t>
      </w:r>
      <w:r w:rsidRPr="009736B2">
        <w:rPr>
          <w:lang w:val="en-GB"/>
        </w:rPr>
        <w:br/>
        <w:t>Year 5: £190,000</w:t>
      </w:r>
    </w:p>
    <w:p w14:paraId="7BE49EB6" w14:textId="02425900" w:rsidR="009736B2" w:rsidRPr="009736B2" w:rsidRDefault="009736B2" w:rsidP="009736B2">
      <w:pPr>
        <w:numPr>
          <w:ilvl w:val="0"/>
          <w:numId w:val="10"/>
        </w:numPr>
        <w:rPr>
          <w:lang w:val="en-GB"/>
        </w:rPr>
      </w:pPr>
      <w:r w:rsidRPr="009736B2">
        <w:rPr>
          <w:b/>
          <w:bCs/>
          <w:lang w:val="en-GB"/>
        </w:rPr>
        <w:t>Discount Rate</w:t>
      </w:r>
      <w:r w:rsidRPr="009736B2">
        <w:rPr>
          <w:lang w:val="en-GB"/>
        </w:rPr>
        <w:t>: 9%</w:t>
      </w:r>
    </w:p>
    <w:p w14:paraId="42C3C7E7" w14:textId="69B5BB70" w:rsidR="009736B2" w:rsidRPr="009736B2" w:rsidRDefault="009736B2" w:rsidP="009736B2">
      <w:pPr>
        <w:rPr>
          <w:lang w:val="en-GB"/>
        </w:rPr>
      </w:pPr>
      <w:r w:rsidRPr="009736B2">
        <w:rPr>
          <w:b/>
          <w:bCs/>
          <w:lang w:val="en-GB"/>
        </w:rPr>
        <w:t>NPV Calculation</w:t>
      </w:r>
      <w:r w:rsidRPr="009736B2">
        <w:rPr>
          <w:lang w:val="en-GB"/>
        </w:rPr>
        <w:t>:</w:t>
      </w:r>
    </w:p>
    <w:p w14:paraId="5C523804" w14:textId="77777777" w:rsidR="009736B2" w:rsidRPr="009736B2" w:rsidRDefault="009736B2" w:rsidP="009736B2">
      <w:pPr>
        <w:numPr>
          <w:ilvl w:val="0"/>
          <w:numId w:val="10"/>
        </w:numPr>
        <w:rPr>
          <w:lang w:val="en-GB"/>
        </w:rPr>
      </w:pPr>
      <w:r w:rsidRPr="009736B2">
        <w:t>NPVA​</w:t>
      </w:r>
      <w:proofErr w:type="gramStart"/>
      <w:r w:rsidRPr="009736B2">
        <w:t>=(</w:t>
      </w:r>
      <w:proofErr w:type="gramEnd"/>
      <w:r w:rsidRPr="009736B2">
        <w:t>1.09)1150,000​+(1.09)2160,000​+(1.09)3170,000​+(1.09)4180,000​+(1.09)5190,000​−500,000=£228,728.92</w:t>
      </w:r>
    </w:p>
    <w:p w14:paraId="72C34007" w14:textId="1F74BBB8" w:rsidR="009736B2" w:rsidRPr="009736B2" w:rsidRDefault="009736B2" w:rsidP="009736B2">
      <w:pPr>
        <w:numPr>
          <w:ilvl w:val="0"/>
          <w:numId w:val="10"/>
        </w:numPr>
        <w:rPr>
          <w:lang w:val="en-GB"/>
        </w:rPr>
      </w:pPr>
      <w:r w:rsidRPr="009736B2">
        <w:rPr>
          <w:b/>
          <w:bCs/>
          <w:lang w:val="en-GB"/>
        </w:rPr>
        <w:t>IRR</w:t>
      </w:r>
      <w:r w:rsidRPr="009736B2">
        <w:rPr>
          <w:lang w:val="en-GB"/>
        </w:rPr>
        <w:t>: 18.13%</w:t>
      </w:r>
    </w:p>
    <w:p w14:paraId="477C51D7" w14:textId="77777777" w:rsidR="009736B2" w:rsidRPr="009736B2" w:rsidRDefault="009736B2" w:rsidP="009736B2">
      <w:pPr>
        <w:numPr>
          <w:ilvl w:val="0"/>
          <w:numId w:val="10"/>
        </w:numPr>
        <w:rPr>
          <w:lang w:val="en-GB"/>
        </w:rPr>
      </w:pPr>
      <w:r w:rsidRPr="009736B2">
        <w:rPr>
          <w:b/>
          <w:bCs/>
          <w:lang w:val="en-GB"/>
        </w:rPr>
        <w:t>Payback Period</w:t>
      </w:r>
      <w:r w:rsidRPr="009736B2">
        <w:rPr>
          <w:lang w:val="en-GB"/>
        </w:rPr>
        <w:t>: 3.41 years</w:t>
      </w:r>
    </w:p>
    <w:p w14:paraId="075C8458" w14:textId="77777777" w:rsidR="009736B2" w:rsidRPr="009736B2" w:rsidRDefault="009736B2" w:rsidP="009736B2">
      <w:pPr>
        <w:numPr>
          <w:ilvl w:val="0"/>
          <w:numId w:val="10"/>
        </w:numPr>
        <w:rPr>
          <w:lang w:val="en-GB"/>
        </w:rPr>
      </w:pPr>
      <w:r w:rsidRPr="009736B2">
        <w:rPr>
          <w:b/>
          <w:bCs/>
          <w:lang w:val="en-GB"/>
        </w:rPr>
        <w:t>NRV</w:t>
      </w:r>
      <w:r w:rsidRPr="009736B2">
        <w:rPr>
          <w:lang w:val="en-GB"/>
        </w:rPr>
        <w:t>: £350,000</w:t>
      </w:r>
    </w:p>
    <w:p w14:paraId="034DD247" w14:textId="77777777" w:rsidR="009736B2" w:rsidRPr="009736B2" w:rsidRDefault="009736B2" w:rsidP="009736B2">
      <w:pPr>
        <w:rPr>
          <w:lang w:val="en-GB"/>
        </w:rPr>
      </w:pPr>
      <w:r w:rsidRPr="009736B2">
        <w:rPr>
          <w:lang w:val="en-GB"/>
        </w:rPr>
        <w:pict w14:anchorId="4B7D8372">
          <v:rect id="_x0000_i1031" style="width:0;height:1.5pt" o:hralign="center" o:hrstd="t" o:hr="t" fillcolor="#a0a0a0" stroked="f"/>
        </w:pict>
      </w:r>
    </w:p>
    <w:p w14:paraId="5B88AB02" w14:textId="77777777" w:rsidR="009736B2" w:rsidRPr="009736B2" w:rsidRDefault="009736B2" w:rsidP="009736B2">
      <w:pPr>
        <w:rPr>
          <w:b/>
          <w:bCs/>
          <w:lang w:val="en-GB"/>
        </w:rPr>
      </w:pPr>
      <w:r w:rsidRPr="009736B2">
        <w:rPr>
          <w:b/>
          <w:bCs/>
          <w:lang w:val="en-GB"/>
        </w:rPr>
        <w:t>Project B – Net-Zero Housing</w:t>
      </w:r>
    </w:p>
    <w:p w14:paraId="251554EE" w14:textId="77777777" w:rsidR="009736B2" w:rsidRPr="009736B2" w:rsidRDefault="009736B2" w:rsidP="009736B2">
      <w:pPr>
        <w:numPr>
          <w:ilvl w:val="0"/>
          <w:numId w:val="11"/>
        </w:numPr>
        <w:rPr>
          <w:lang w:val="en-GB"/>
        </w:rPr>
      </w:pPr>
      <w:r w:rsidRPr="009736B2">
        <w:rPr>
          <w:b/>
          <w:bCs/>
          <w:lang w:val="en-GB"/>
        </w:rPr>
        <w:t>Cash Flows</w:t>
      </w:r>
      <w:r w:rsidRPr="009736B2">
        <w:rPr>
          <w:lang w:val="en-GB"/>
        </w:rPr>
        <w:t>:</w:t>
      </w:r>
      <w:r w:rsidRPr="009736B2">
        <w:rPr>
          <w:lang w:val="en-GB"/>
        </w:rPr>
        <w:br/>
        <w:t>Year 0: -£500,000</w:t>
      </w:r>
      <w:r w:rsidRPr="009736B2">
        <w:rPr>
          <w:lang w:val="en-GB"/>
        </w:rPr>
        <w:br/>
        <w:t>Year 1: £50,000</w:t>
      </w:r>
      <w:r w:rsidRPr="009736B2">
        <w:rPr>
          <w:lang w:val="en-GB"/>
        </w:rPr>
        <w:br/>
        <w:t>Year 2: £80,000</w:t>
      </w:r>
      <w:r w:rsidRPr="009736B2">
        <w:rPr>
          <w:lang w:val="en-GB"/>
        </w:rPr>
        <w:br/>
        <w:t>Year 3: £100,000</w:t>
      </w:r>
      <w:r w:rsidRPr="009736B2">
        <w:rPr>
          <w:lang w:val="en-GB"/>
        </w:rPr>
        <w:br/>
        <w:t>Year 4: £120,000</w:t>
      </w:r>
      <w:r w:rsidRPr="009736B2">
        <w:rPr>
          <w:lang w:val="en-GB"/>
        </w:rPr>
        <w:br/>
        <w:t>Year 5: £140,000</w:t>
      </w:r>
    </w:p>
    <w:p w14:paraId="3E67F9D7" w14:textId="77777777" w:rsidR="009736B2" w:rsidRPr="009736B2" w:rsidRDefault="009736B2" w:rsidP="009736B2">
      <w:pPr>
        <w:numPr>
          <w:ilvl w:val="0"/>
          <w:numId w:val="11"/>
        </w:numPr>
        <w:rPr>
          <w:lang w:val="en-GB"/>
        </w:rPr>
      </w:pPr>
      <w:r w:rsidRPr="009736B2">
        <w:rPr>
          <w:b/>
          <w:bCs/>
          <w:lang w:val="en-GB"/>
        </w:rPr>
        <w:lastRenderedPageBreak/>
        <w:t>NPV Calculation</w:t>
      </w:r>
      <w:r w:rsidRPr="009736B2">
        <w:rPr>
          <w:lang w:val="en-GB"/>
        </w:rPr>
        <w:t>:</w:t>
      </w:r>
    </w:p>
    <w:p w14:paraId="61EFF3AA" w14:textId="77777777" w:rsidR="009736B2" w:rsidRPr="009736B2" w:rsidRDefault="009736B2" w:rsidP="009736B2">
      <w:pPr>
        <w:numPr>
          <w:ilvl w:val="0"/>
          <w:numId w:val="11"/>
        </w:numPr>
        <w:rPr>
          <w:lang w:val="en-GB"/>
        </w:rPr>
      </w:pPr>
      <w:r w:rsidRPr="009736B2">
        <w:t>NPVB​</w:t>
      </w:r>
      <w:proofErr w:type="gramStart"/>
      <w:r w:rsidRPr="009736B2">
        <w:t>=(</w:t>
      </w:r>
      <w:proofErr w:type="gramEnd"/>
      <w:r w:rsidRPr="009736B2">
        <w:t>1.09)150,000​+(1.09)280,000​+(1.09)3100,000​+(1.09)4120,000​+(1.09)5140,000​−500,000=£−31,092.95</w:t>
      </w:r>
    </w:p>
    <w:p w14:paraId="3301156F" w14:textId="22E262AB" w:rsidR="009736B2" w:rsidRPr="009736B2" w:rsidRDefault="009736B2" w:rsidP="009736B2">
      <w:pPr>
        <w:numPr>
          <w:ilvl w:val="0"/>
          <w:numId w:val="11"/>
        </w:numPr>
        <w:rPr>
          <w:lang w:val="en-GB"/>
        </w:rPr>
      </w:pPr>
      <w:r w:rsidRPr="009736B2">
        <w:rPr>
          <w:b/>
          <w:bCs/>
          <w:lang w:val="en-GB"/>
        </w:rPr>
        <w:t>IRR</w:t>
      </w:r>
      <w:r w:rsidRPr="009736B2">
        <w:rPr>
          <w:lang w:val="en-GB"/>
        </w:rPr>
        <w:t>: 7.54%</w:t>
      </w:r>
    </w:p>
    <w:p w14:paraId="4BA015F8" w14:textId="77777777" w:rsidR="009736B2" w:rsidRPr="009736B2" w:rsidRDefault="009736B2" w:rsidP="009736B2">
      <w:pPr>
        <w:numPr>
          <w:ilvl w:val="0"/>
          <w:numId w:val="11"/>
        </w:numPr>
        <w:rPr>
          <w:lang w:val="en-GB"/>
        </w:rPr>
      </w:pPr>
      <w:r w:rsidRPr="009736B2">
        <w:rPr>
          <w:b/>
          <w:bCs/>
          <w:lang w:val="en-GB"/>
        </w:rPr>
        <w:t>Payback Period</w:t>
      </w:r>
      <w:r w:rsidRPr="009736B2">
        <w:rPr>
          <w:lang w:val="en-GB"/>
        </w:rPr>
        <w:t>: Not achieved within 5 years</w:t>
      </w:r>
    </w:p>
    <w:p w14:paraId="5777B258" w14:textId="77777777" w:rsidR="009736B2" w:rsidRPr="009736B2" w:rsidRDefault="009736B2" w:rsidP="009736B2">
      <w:pPr>
        <w:numPr>
          <w:ilvl w:val="0"/>
          <w:numId w:val="11"/>
        </w:numPr>
        <w:rPr>
          <w:lang w:val="en-GB"/>
        </w:rPr>
      </w:pPr>
      <w:r w:rsidRPr="009736B2">
        <w:rPr>
          <w:b/>
          <w:bCs/>
          <w:lang w:val="en-GB"/>
        </w:rPr>
        <w:t>NRV</w:t>
      </w:r>
      <w:r w:rsidRPr="009736B2">
        <w:rPr>
          <w:lang w:val="en-GB"/>
        </w:rPr>
        <w:t>: £-10,000</w:t>
      </w:r>
    </w:p>
    <w:p w14:paraId="694BCA55" w14:textId="77777777" w:rsidR="009736B2" w:rsidRDefault="009736B2"/>
    <w:p w14:paraId="188D2185" w14:textId="77777777" w:rsidR="003C6D2B" w:rsidRDefault="00000000">
      <w:pPr>
        <w:pStyle w:val="Heading1"/>
      </w:pPr>
      <w:r>
        <w:t>Capital Budgeting Summary</w:t>
      </w:r>
    </w:p>
    <w:tbl>
      <w:tblPr>
        <w:tblStyle w:val="LightGrid"/>
        <w:tblW w:w="0" w:type="auto"/>
        <w:tblLook w:val="04A0" w:firstRow="1" w:lastRow="0" w:firstColumn="1" w:lastColumn="0" w:noHBand="0" w:noVBand="1"/>
      </w:tblPr>
      <w:tblGrid>
        <w:gridCol w:w="2872"/>
        <w:gridCol w:w="2874"/>
        <w:gridCol w:w="2874"/>
      </w:tblGrid>
      <w:tr w:rsidR="003C6D2B" w14:paraId="7D34322B" w14:textId="77777777" w:rsidTr="003C6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94BA096" w14:textId="77777777" w:rsidR="003C6D2B" w:rsidRDefault="00000000">
            <w:r>
              <w:t>Metric</w:t>
            </w:r>
          </w:p>
        </w:tc>
        <w:tc>
          <w:tcPr>
            <w:tcW w:w="2880" w:type="dxa"/>
          </w:tcPr>
          <w:p w14:paraId="655CA050" w14:textId="77777777" w:rsidR="003C6D2B" w:rsidRDefault="00000000">
            <w:pPr>
              <w:cnfStyle w:val="100000000000" w:firstRow="1" w:lastRow="0" w:firstColumn="0" w:lastColumn="0" w:oddVBand="0" w:evenVBand="0" w:oddHBand="0" w:evenHBand="0" w:firstRowFirstColumn="0" w:firstRowLastColumn="0" w:lastRowFirstColumn="0" w:lastRowLastColumn="0"/>
            </w:pPr>
            <w:r>
              <w:t>Project A: Green Office Tower</w:t>
            </w:r>
          </w:p>
        </w:tc>
        <w:tc>
          <w:tcPr>
            <w:tcW w:w="2880" w:type="dxa"/>
          </w:tcPr>
          <w:p w14:paraId="2D7F06CA" w14:textId="77777777" w:rsidR="003C6D2B" w:rsidRDefault="00000000">
            <w:pPr>
              <w:cnfStyle w:val="100000000000" w:firstRow="1" w:lastRow="0" w:firstColumn="0" w:lastColumn="0" w:oddVBand="0" w:evenVBand="0" w:oddHBand="0" w:evenHBand="0" w:firstRowFirstColumn="0" w:firstRowLastColumn="0" w:lastRowFirstColumn="0" w:lastRowLastColumn="0"/>
            </w:pPr>
            <w:r>
              <w:t>Project B: Net-Zero Housing</w:t>
            </w:r>
          </w:p>
        </w:tc>
      </w:tr>
      <w:tr w:rsidR="003C6D2B" w14:paraId="142FFEEB" w14:textId="77777777" w:rsidTr="003C6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675A411" w14:textId="77777777" w:rsidR="003C6D2B" w:rsidRDefault="00000000">
            <w:r>
              <w:t>NPV (£)</w:t>
            </w:r>
          </w:p>
        </w:tc>
        <w:tc>
          <w:tcPr>
            <w:tcW w:w="2880" w:type="dxa"/>
          </w:tcPr>
          <w:p w14:paraId="7A23F12C" w14:textId="0166259B" w:rsidR="003C6D2B" w:rsidRDefault="00000000">
            <w:pPr>
              <w:cnfStyle w:val="000000100000" w:firstRow="0" w:lastRow="0" w:firstColumn="0" w:lastColumn="0" w:oddVBand="0" w:evenVBand="0" w:oddHBand="1" w:evenHBand="0" w:firstRowFirstColumn="0" w:firstRowLastColumn="0" w:lastRowFirstColumn="0" w:lastRowLastColumn="0"/>
            </w:pPr>
            <w:r>
              <w:t>£</w:t>
            </w:r>
            <w:r w:rsidR="009736B2">
              <w:t>228</w:t>
            </w:r>
            <w:r w:rsidR="00E113BE">
              <w:t>,</w:t>
            </w:r>
            <w:r w:rsidR="009736B2">
              <w:t>728.92</w:t>
            </w:r>
          </w:p>
        </w:tc>
        <w:tc>
          <w:tcPr>
            <w:tcW w:w="2880" w:type="dxa"/>
          </w:tcPr>
          <w:p w14:paraId="4FE80C63" w14:textId="6C6969AD" w:rsidR="003C6D2B" w:rsidRDefault="00000000">
            <w:pPr>
              <w:cnfStyle w:val="000000100000" w:firstRow="0" w:lastRow="0" w:firstColumn="0" w:lastColumn="0" w:oddVBand="0" w:evenVBand="0" w:oddHBand="1" w:evenHBand="0" w:firstRowFirstColumn="0" w:firstRowLastColumn="0" w:lastRowFirstColumn="0" w:lastRowLastColumn="0"/>
            </w:pPr>
            <w:r>
              <w:t>-£</w:t>
            </w:r>
            <w:r w:rsidR="009736B2">
              <w:t>31,092.95</w:t>
            </w:r>
          </w:p>
        </w:tc>
      </w:tr>
      <w:tr w:rsidR="003C6D2B" w14:paraId="2CFD2069" w14:textId="77777777" w:rsidTr="003C6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05345C1" w14:textId="77777777" w:rsidR="003C6D2B" w:rsidRDefault="00000000">
            <w:r>
              <w:t>IRR (%)</w:t>
            </w:r>
          </w:p>
        </w:tc>
        <w:tc>
          <w:tcPr>
            <w:tcW w:w="2880" w:type="dxa"/>
          </w:tcPr>
          <w:p w14:paraId="65A7C26C" w14:textId="33C3E5E5" w:rsidR="003C6D2B" w:rsidRDefault="009736B2">
            <w:pPr>
              <w:cnfStyle w:val="000000010000" w:firstRow="0" w:lastRow="0" w:firstColumn="0" w:lastColumn="0" w:oddVBand="0" w:evenVBand="0" w:oddHBand="0" w:evenHBand="1" w:firstRowFirstColumn="0" w:firstRowLastColumn="0" w:lastRowFirstColumn="0" w:lastRowLastColumn="0"/>
            </w:pPr>
            <w:r>
              <w:t>18.13%</w:t>
            </w:r>
          </w:p>
        </w:tc>
        <w:tc>
          <w:tcPr>
            <w:tcW w:w="2880" w:type="dxa"/>
          </w:tcPr>
          <w:p w14:paraId="6FDA83BF" w14:textId="3158167A" w:rsidR="003C6D2B" w:rsidRDefault="009736B2">
            <w:pPr>
              <w:cnfStyle w:val="000000010000" w:firstRow="0" w:lastRow="0" w:firstColumn="0" w:lastColumn="0" w:oddVBand="0" w:evenVBand="0" w:oddHBand="0" w:evenHBand="1" w:firstRowFirstColumn="0" w:firstRowLastColumn="0" w:lastRowFirstColumn="0" w:lastRowLastColumn="0"/>
            </w:pPr>
            <w:r>
              <w:t>7.54%</w:t>
            </w:r>
          </w:p>
        </w:tc>
      </w:tr>
      <w:tr w:rsidR="003C6D2B" w14:paraId="5BB7EBF4" w14:textId="77777777" w:rsidTr="003C6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5D136E3" w14:textId="77777777" w:rsidR="003C6D2B" w:rsidRDefault="00000000">
            <w:r>
              <w:t>Payback Period (Years)</w:t>
            </w:r>
          </w:p>
        </w:tc>
        <w:tc>
          <w:tcPr>
            <w:tcW w:w="2880" w:type="dxa"/>
          </w:tcPr>
          <w:p w14:paraId="463354AB" w14:textId="169F5AA2" w:rsidR="003C6D2B" w:rsidRDefault="00000000">
            <w:pPr>
              <w:cnfStyle w:val="000000100000" w:firstRow="0" w:lastRow="0" w:firstColumn="0" w:lastColumn="0" w:oddVBand="0" w:evenVBand="0" w:oddHBand="1" w:evenHBand="0" w:firstRowFirstColumn="0" w:firstRowLastColumn="0" w:lastRowFirstColumn="0" w:lastRowLastColumn="0"/>
            </w:pPr>
            <w:r>
              <w:t>3.</w:t>
            </w:r>
            <w:r w:rsidR="009736B2">
              <w:t>41</w:t>
            </w:r>
          </w:p>
        </w:tc>
        <w:tc>
          <w:tcPr>
            <w:tcW w:w="2880" w:type="dxa"/>
          </w:tcPr>
          <w:p w14:paraId="3A43F26C" w14:textId="20C7F502" w:rsidR="003C6D2B" w:rsidRDefault="00E113BE">
            <w:pPr>
              <w:cnfStyle w:val="000000100000" w:firstRow="0" w:lastRow="0" w:firstColumn="0" w:lastColumn="0" w:oddVBand="0" w:evenVBand="0" w:oddHBand="1" w:evenHBand="0" w:firstRowFirstColumn="0" w:firstRowLastColumn="0" w:lastRowFirstColumn="0" w:lastRowLastColumn="0"/>
            </w:pPr>
            <w:r>
              <w:t>Not recovered</w:t>
            </w:r>
          </w:p>
        </w:tc>
      </w:tr>
      <w:tr w:rsidR="003C6D2B" w14:paraId="427E7A3B" w14:textId="77777777" w:rsidTr="003C6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9E3DDDC" w14:textId="77777777" w:rsidR="003C6D2B" w:rsidRDefault="00000000">
            <w:r>
              <w:t>Net Return Value (£)</w:t>
            </w:r>
          </w:p>
        </w:tc>
        <w:tc>
          <w:tcPr>
            <w:tcW w:w="2880" w:type="dxa"/>
          </w:tcPr>
          <w:p w14:paraId="75C3222D" w14:textId="6EFC5BC0" w:rsidR="003C6D2B" w:rsidRDefault="00000000">
            <w:pPr>
              <w:cnfStyle w:val="000000010000" w:firstRow="0" w:lastRow="0" w:firstColumn="0" w:lastColumn="0" w:oddVBand="0" w:evenVBand="0" w:oddHBand="0" w:evenHBand="1" w:firstRowFirstColumn="0" w:firstRowLastColumn="0" w:lastRowFirstColumn="0" w:lastRowLastColumn="0"/>
            </w:pPr>
            <w:r>
              <w:t>£</w:t>
            </w:r>
            <w:r w:rsidR="009736B2">
              <w:t>350,000</w:t>
            </w:r>
          </w:p>
        </w:tc>
        <w:tc>
          <w:tcPr>
            <w:tcW w:w="2880" w:type="dxa"/>
          </w:tcPr>
          <w:p w14:paraId="5A030FB5" w14:textId="7ACBE0CD" w:rsidR="003C6D2B" w:rsidRDefault="009736B2">
            <w:pPr>
              <w:cnfStyle w:val="000000010000" w:firstRow="0" w:lastRow="0" w:firstColumn="0" w:lastColumn="0" w:oddVBand="0" w:evenVBand="0" w:oddHBand="0" w:evenHBand="1" w:firstRowFirstColumn="0" w:firstRowLastColumn="0" w:lastRowFirstColumn="0" w:lastRowLastColumn="0"/>
            </w:pPr>
            <w:r>
              <w:t>-£10,000</w:t>
            </w:r>
          </w:p>
        </w:tc>
      </w:tr>
    </w:tbl>
    <w:p w14:paraId="0923FD5B" w14:textId="77777777" w:rsidR="003C6D2B" w:rsidRDefault="00000000">
      <w:r>
        <w:rPr>
          <w:noProof/>
        </w:rPr>
        <w:drawing>
          <wp:inline distT="0" distB="0" distL="0" distR="0" wp14:anchorId="521AB063" wp14:editId="64EDB84E">
            <wp:extent cx="5029200"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v_chart.png"/>
                    <pic:cNvPicPr/>
                  </pic:nvPicPr>
                  <pic:blipFill>
                    <a:blip r:embed="rId6"/>
                    <a:stretch>
                      <a:fillRect/>
                    </a:stretch>
                  </pic:blipFill>
                  <pic:spPr>
                    <a:xfrm>
                      <a:off x="0" y="0"/>
                      <a:ext cx="5029200" cy="3017520"/>
                    </a:xfrm>
                    <a:prstGeom prst="rect">
                      <a:avLst/>
                    </a:prstGeom>
                  </pic:spPr>
                </pic:pic>
              </a:graphicData>
            </a:graphic>
          </wp:inline>
        </w:drawing>
      </w:r>
    </w:p>
    <w:p w14:paraId="44BB5051" w14:textId="77777777" w:rsidR="003C6D2B" w:rsidRDefault="00000000">
      <w:r>
        <w:t>Figure 1: NPV Comparison between Project A and Project B</w:t>
      </w:r>
    </w:p>
    <w:p w14:paraId="61051F78" w14:textId="77777777" w:rsidR="003C6D2B" w:rsidRDefault="00000000">
      <w:pPr>
        <w:pStyle w:val="Heading1"/>
      </w:pPr>
      <w:r>
        <w:t>Strategic Analysis</w:t>
      </w:r>
    </w:p>
    <w:p w14:paraId="1C953BF4" w14:textId="14EB3BDB" w:rsidR="003C6D2B" w:rsidRDefault="00000000" w:rsidP="00E113BE">
      <w:pPr>
        <w:pStyle w:val="ListNumber"/>
        <w:numPr>
          <w:ilvl w:val="0"/>
          <w:numId w:val="12"/>
        </w:numPr>
      </w:pPr>
      <w:r>
        <w:t>Which project offers higher financial return?</w:t>
      </w:r>
    </w:p>
    <w:p w14:paraId="2429AEB3" w14:textId="55B01569" w:rsidR="003C6D2B" w:rsidRDefault="00000000">
      <w:pPr>
        <w:pStyle w:val="BodyText"/>
      </w:pPr>
      <w:r>
        <w:t>Project A offers a higher financial return with a positive NPV of £</w:t>
      </w:r>
      <w:r w:rsidR="00E113BE">
        <w:t>228,728.92</w:t>
      </w:r>
      <w:r>
        <w:t xml:space="preserve"> and IRR of </w:t>
      </w:r>
      <w:r w:rsidR="00E113BE">
        <w:t>18.13%</w:t>
      </w:r>
      <w:r>
        <w:t>, compared to Project B’s negative NPV and low IRR of 2.81%.</w:t>
      </w:r>
    </w:p>
    <w:p w14:paraId="6E1FBF33" w14:textId="03809570" w:rsidR="003C6D2B" w:rsidRDefault="00000000" w:rsidP="00E113BE">
      <w:pPr>
        <w:pStyle w:val="ListNumber"/>
        <w:numPr>
          <w:ilvl w:val="0"/>
          <w:numId w:val="12"/>
        </w:numPr>
      </w:pPr>
      <w:r>
        <w:lastRenderedPageBreak/>
        <w:t>Which project is more aligned with the firm’s Net-Zero 2040 goal?</w:t>
      </w:r>
    </w:p>
    <w:p w14:paraId="52F6EDE1" w14:textId="77777777" w:rsidR="003C6D2B" w:rsidRDefault="00000000">
      <w:pPr>
        <w:pStyle w:val="BodyText"/>
      </w:pPr>
      <w:r>
        <w:t>Project B is more aligned, being fully net-zero/carbon neutral, directly supporting the firm’s ESG commitments.</w:t>
      </w:r>
    </w:p>
    <w:p w14:paraId="6610AF5F" w14:textId="549D2840" w:rsidR="003C6D2B" w:rsidRDefault="00000000" w:rsidP="00E113BE">
      <w:pPr>
        <w:pStyle w:val="ListNumber"/>
        <w:numPr>
          <w:ilvl w:val="0"/>
          <w:numId w:val="12"/>
        </w:numPr>
      </w:pPr>
      <w:r>
        <w:t>If liquidity is limited in the next 3 years, which project is safer?</w:t>
      </w:r>
    </w:p>
    <w:p w14:paraId="2924B92A" w14:textId="77777777" w:rsidR="003C6D2B" w:rsidRDefault="00000000">
      <w:pPr>
        <w:pStyle w:val="BodyText"/>
      </w:pPr>
      <w:r>
        <w:t>Project A is safer due to a shorter payback period of 3.53 years compared to 4.64 years for Project B.</w:t>
      </w:r>
    </w:p>
    <w:p w14:paraId="00E03815" w14:textId="560EC70F" w:rsidR="003C6D2B" w:rsidRDefault="00000000" w:rsidP="00E113BE">
      <w:pPr>
        <w:pStyle w:val="ListNumber"/>
        <w:numPr>
          <w:ilvl w:val="0"/>
          <w:numId w:val="12"/>
        </w:numPr>
      </w:pPr>
      <w:r>
        <w:t>How might the public image / brand value of the Net-Zero Housing project affect long-term revenues?</w:t>
      </w:r>
    </w:p>
    <w:p w14:paraId="34D43D78" w14:textId="77777777" w:rsidR="003C6D2B" w:rsidRDefault="00000000">
      <w:pPr>
        <w:pStyle w:val="BodyText"/>
      </w:pPr>
      <w:r>
        <w:t>Although less financially attractive, Project B may improve brand value and stakeholder trust, potentially leading to long-term gains through enhanced reputation and ESG compliance.</w:t>
      </w:r>
    </w:p>
    <w:p w14:paraId="4D46F524" w14:textId="40597F77" w:rsidR="003C6D2B" w:rsidRDefault="00000000" w:rsidP="00E113BE">
      <w:pPr>
        <w:pStyle w:val="ListNumber"/>
        <w:numPr>
          <w:ilvl w:val="0"/>
          <w:numId w:val="12"/>
        </w:numPr>
      </w:pPr>
      <w:r>
        <w:t xml:space="preserve">Given that the firm is marketing itself as a global ESG leader, how should that factor </w:t>
      </w:r>
      <w:proofErr w:type="gramStart"/>
      <w:r>
        <w:t>into</w:t>
      </w:r>
      <w:proofErr w:type="gramEnd"/>
      <w:r>
        <w:t xml:space="preserve"> the decision?</w:t>
      </w:r>
    </w:p>
    <w:p w14:paraId="36375589" w14:textId="77777777" w:rsidR="003C6D2B" w:rsidRDefault="00000000">
      <w:pPr>
        <w:pStyle w:val="BodyText"/>
      </w:pPr>
      <w:r>
        <w:t>While Project A is more profitable, Project B aligns with ESG branding. A blended strategy could be ideal, balancing short-term returns and long-term brand equity.</w:t>
      </w:r>
    </w:p>
    <w:p w14:paraId="03D936B3" w14:textId="77777777" w:rsidR="003C6D2B" w:rsidRDefault="00000000">
      <w:pPr>
        <w:pStyle w:val="Heading1"/>
      </w:pPr>
      <w:r>
        <w:t>Recommendation</w:t>
      </w:r>
    </w:p>
    <w:p w14:paraId="3F1420E8" w14:textId="15FD8B2A" w:rsidR="003C6D2B" w:rsidRDefault="009736B2">
      <w:r w:rsidRPr="009736B2">
        <w:t>Project A offers superior financial performance across all metrics. It provides a positive NPV, higher IRR, and a reasonable payback period, making it a sound investment. While Project B aligns well with ESG goals and the Net-Zero 2040 vision, its weak financials (negative NPV and delayed return) pose risks. A hybrid approach can be considered, but from a purely financial and practical perspective, Project A is the more prudent choice.</w:t>
      </w:r>
    </w:p>
    <w:p w14:paraId="023F40BF" w14:textId="77777777" w:rsidR="003C6D2B" w:rsidRDefault="00000000">
      <w:pPr>
        <w:pStyle w:val="Heading1"/>
      </w:pPr>
      <w:r>
        <w:t>References</w:t>
      </w:r>
    </w:p>
    <w:p w14:paraId="4434B4A8" w14:textId="77777777" w:rsidR="00BB7A8D" w:rsidRDefault="00BB7A8D">
      <w:pPr>
        <w:rPr>
          <w:b/>
          <w:bCs/>
        </w:rPr>
      </w:pPr>
    </w:p>
    <w:p w14:paraId="28E18852" w14:textId="36573410" w:rsidR="00BB7A8D" w:rsidRDefault="00BB7A8D">
      <w:r w:rsidRPr="00BB7A8D">
        <w:t>Net Present Value (NPV), IRR, and Payback Period – Corporate Finance Institute (CFI)</w:t>
      </w:r>
      <w:r w:rsidRPr="00BB7A8D">
        <w:br/>
      </w:r>
      <w:hyperlink r:id="rId7" w:history="1">
        <w:r w:rsidRPr="00AA1BF3">
          <w:rPr>
            <w:rStyle w:val="Hyperlink"/>
          </w:rPr>
          <w:t>https://corporatefinanceinstitute.com/resources/valuation/net-present-value-npv/</w:t>
        </w:r>
      </w:hyperlink>
      <w:r>
        <w:t xml:space="preserve"> </w:t>
      </w:r>
      <w:r w:rsidR="00000000">
        <w:br/>
      </w:r>
    </w:p>
    <w:p w14:paraId="0352460E" w14:textId="36064067" w:rsidR="00BB7A8D" w:rsidRDefault="00000000">
      <w:r>
        <w:t xml:space="preserve">Investopedia. (n.d.). Capital Budgeting. </w:t>
      </w:r>
      <w:r w:rsidR="00BB7A8D">
        <w:t xml:space="preserve"> </w:t>
      </w:r>
      <w:hyperlink r:id="rId8" w:history="1">
        <w:r w:rsidR="00BB7A8D" w:rsidRPr="00AA1BF3">
          <w:rPr>
            <w:rStyle w:val="Hyperlink"/>
          </w:rPr>
          <w:t>https://www.investopedia.com/terms/c/capitalbudgeting.asp</w:t>
        </w:r>
      </w:hyperlink>
    </w:p>
    <w:p w14:paraId="4FA39868" w14:textId="5F467A16" w:rsidR="003C6D2B" w:rsidRDefault="00000000">
      <w:r>
        <w:br/>
      </w:r>
      <w:r w:rsidR="00BB7A8D" w:rsidRPr="00BB7A8D">
        <w:t>I</w:t>
      </w:r>
      <w:r w:rsidR="00BB7A8D" w:rsidRPr="00BB7A8D">
        <w:t>nternal Rate of Return (IRR) – CFI</w:t>
      </w:r>
      <w:r w:rsidR="00BB7A8D" w:rsidRPr="00BB7A8D">
        <w:br/>
      </w:r>
      <w:hyperlink r:id="rId9" w:history="1">
        <w:r w:rsidR="00BB7A8D" w:rsidRPr="00AA1BF3">
          <w:rPr>
            <w:rStyle w:val="Hyperlink"/>
          </w:rPr>
          <w:t>https://corporatefinanceinstitute.com/resources/valuation/internal-rate-of-return-irr/</w:t>
        </w:r>
      </w:hyperlink>
      <w:r w:rsidR="00BB7A8D">
        <w:t xml:space="preserve"> </w:t>
      </w:r>
    </w:p>
    <w:p w14:paraId="3D5462D5" w14:textId="77777777" w:rsidR="00BB7A8D" w:rsidRDefault="00BB7A8D"/>
    <w:sectPr w:rsidR="00BB7A8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69C330E"/>
    <w:multiLevelType w:val="hybridMultilevel"/>
    <w:tmpl w:val="14AAF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1E244A"/>
    <w:multiLevelType w:val="multilevel"/>
    <w:tmpl w:val="C57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D0455"/>
    <w:multiLevelType w:val="multilevel"/>
    <w:tmpl w:val="BAA0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489120">
    <w:abstractNumId w:val="8"/>
  </w:num>
  <w:num w:numId="2" w16cid:durableId="629167912">
    <w:abstractNumId w:val="6"/>
  </w:num>
  <w:num w:numId="3" w16cid:durableId="818762279">
    <w:abstractNumId w:val="5"/>
  </w:num>
  <w:num w:numId="4" w16cid:durableId="1811635257">
    <w:abstractNumId w:val="4"/>
  </w:num>
  <w:num w:numId="5" w16cid:durableId="1082333603">
    <w:abstractNumId w:val="7"/>
  </w:num>
  <w:num w:numId="6" w16cid:durableId="2122526602">
    <w:abstractNumId w:val="3"/>
  </w:num>
  <w:num w:numId="7" w16cid:durableId="1196508238">
    <w:abstractNumId w:val="2"/>
  </w:num>
  <w:num w:numId="8" w16cid:durableId="1627422373">
    <w:abstractNumId w:val="1"/>
  </w:num>
  <w:num w:numId="9" w16cid:durableId="1349021598">
    <w:abstractNumId w:val="0"/>
  </w:num>
  <w:num w:numId="10" w16cid:durableId="920409966">
    <w:abstractNumId w:val="10"/>
  </w:num>
  <w:num w:numId="11" w16cid:durableId="1858234474">
    <w:abstractNumId w:val="11"/>
  </w:num>
  <w:num w:numId="12" w16cid:durableId="1487279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6137"/>
    <w:rsid w:val="0015074B"/>
    <w:rsid w:val="0029639D"/>
    <w:rsid w:val="00326F90"/>
    <w:rsid w:val="003C6D2B"/>
    <w:rsid w:val="009736B2"/>
    <w:rsid w:val="00AA1D8D"/>
    <w:rsid w:val="00B47730"/>
    <w:rsid w:val="00BB7A8D"/>
    <w:rsid w:val="00CB0664"/>
    <w:rsid w:val="00E113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2C18A"/>
  <w14:defaultImageDpi w14:val="300"/>
  <w15:docId w15:val="{0DFDDA77-3270-48C4-9ADC-333F73F1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B7A8D"/>
    <w:rPr>
      <w:color w:val="0000FF" w:themeColor="hyperlink"/>
      <w:u w:val="single"/>
    </w:rPr>
  </w:style>
  <w:style w:type="character" w:styleId="UnresolvedMention">
    <w:name w:val="Unresolved Mention"/>
    <w:basedOn w:val="DefaultParagraphFont"/>
    <w:uiPriority w:val="99"/>
    <w:semiHidden/>
    <w:unhideWhenUsed/>
    <w:rsid w:val="00BB7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6154">
      <w:bodyDiv w:val="1"/>
      <w:marLeft w:val="0"/>
      <w:marRight w:val="0"/>
      <w:marTop w:val="0"/>
      <w:marBottom w:val="0"/>
      <w:divBdr>
        <w:top w:val="none" w:sz="0" w:space="0" w:color="auto"/>
        <w:left w:val="none" w:sz="0" w:space="0" w:color="auto"/>
        <w:bottom w:val="none" w:sz="0" w:space="0" w:color="auto"/>
        <w:right w:val="none" w:sz="0" w:space="0" w:color="auto"/>
      </w:divBdr>
    </w:div>
    <w:div w:id="174228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apitalbudgeting.asp" TargetMode="External"/><Relationship Id="rId3" Type="http://schemas.openxmlformats.org/officeDocument/2006/relationships/styles" Target="styles.xml"/><Relationship Id="rId7" Type="http://schemas.openxmlformats.org/officeDocument/2006/relationships/hyperlink" Target="https://corporatefinanceinstitute.com/resources/valuation/net-present-value-np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rporatefinanceinstitute.com/resources/valuation/internal-rate-of-return-i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4</cp:revision>
  <dcterms:created xsi:type="dcterms:W3CDTF">2025-07-21T12:51:00Z</dcterms:created>
  <dcterms:modified xsi:type="dcterms:W3CDTF">2025-07-21T13:15:00Z</dcterms:modified>
  <cp:category/>
</cp:coreProperties>
</file>