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7FDE" w14:textId="6425BF2C" w:rsidR="003C6D2B" w:rsidRPr="00E113BE" w:rsidRDefault="00000000" w:rsidP="00E113BE">
      <w:pPr>
        <w:pStyle w:val="Title"/>
        <w:jc w:val="center"/>
        <w:rPr>
          <w:sz w:val="44"/>
          <w:szCs w:val="44"/>
        </w:rPr>
      </w:pPr>
      <w:r w:rsidRPr="00E113BE">
        <w:rPr>
          <w:sz w:val="44"/>
          <w:szCs w:val="44"/>
        </w:rPr>
        <w:t>I</w:t>
      </w:r>
      <w:r w:rsidR="00E113BE" w:rsidRPr="00E113BE">
        <w:rPr>
          <w:sz w:val="44"/>
          <w:szCs w:val="44"/>
        </w:rPr>
        <w:t>nternal memo - I</w:t>
      </w:r>
      <w:r w:rsidRPr="00E113BE">
        <w:rPr>
          <w:sz w:val="44"/>
          <w:szCs w:val="44"/>
        </w:rPr>
        <w:t>nvestment Appraisal Report</w:t>
      </w:r>
    </w:p>
    <w:p w14:paraId="54895B30" w14:textId="77777777" w:rsidR="003C6D2B" w:rsidRDefault="00000000">
      <w:pPr>
        <w:pStyle w:val="Heading1"/>
      </w:pPr>
      <w:r>
        <w:t>Executive Summary</w:t>
      </w:r>
    </w:p>
    <w:p w14:paraId="347C1DB9" w14:textId="77777777" w:rsidR="003C6D2B" w:rsidRDefault="00000000">
      <w:r>
        <w:t>This report presents an investment appraisal analysis for two sustainable construction projects: Project A – Green Office Tower, and Project B – Net-Zero Community Housing. The objective is to assess their financial viability and strategic alignment with the firm's sustainability goals. The analysis includes NPV, IRR, Payback Period, and Net Return Value, alongside qualitative ESG and brand considerations.</w:t>
      </w:r>
    </w:p>
    <w:p w14:paraId="29288F9F" w14:textId="77777777" w:rsidR="009736B2" w:rsidRPr="009736B2" w:rsidRDefault="009736B2" w:rsidP="009736B2">
      <w:pPr>
        <w:rPr>
          <w:b/>
          <w:bCs/>
          <w:color w:val="1F497D" w:themeColor="text2"/>
          <w:lang w:val="en-GB"/>
        </w:rPr>
      </w:pPr>
      <w:r w:rsidRPr="009736B2">
        <w:rPr>
          <w:b/>
          <w:bCs/>
          <w:color w:val="1F497D" w:themeColor="text2"/>
          <w:lang w:val="en-GB"/>
        </w:rPr>
        <w:t>Capital Budgeting Calculations</w:t>
      </w:r>
    </w:p>
    <w:p w14:paraId="141A8D1F" w14:textId="77777777" w:rsidR="009736B2" w:rsidRPr="009736B2" w:rsidRDefault="009736B2" w:rsidP="009736B2">
      <w:pPr>
        <w:rPr>
          <w:b/>
          <w:bCs/>
          <w:lang w:val="en-GB"/>
        </w:rPr>
      </w:pPr>
      <w:r w:rsidRPr="009736B2">
        <w:rPr>
          <w:b/>
          <w:bCs/>
          <w:lang w:val="en-GB"/>
        </w:rPr>
        <w:t>Project A – Green Office Tower</w:t>
      </w:r>
    </w:p>
    <w:p w14:paraId="59A4A73E" w14:textId="29CCEF60" w:rsidR="009736B2" w:rsidRPr="009736B2" w:rsidRDefault="009736B2" w:rsidP="009736B2">
      <w:pPr>
        <w:numPr>
          <w:ilvl w:val="0"/>
          <w:numId w:val="10"/>
        </w:numPr>
        <w:rPr>
          <w:lang w:val="en-GB"/>
        </w:rPr>
      </w:pPr>
      <w:r w:rsidRPr="009736B2">
        <w:rPr>
          <w:b/>
          <w:bCs/>
          <w:lang w:val="en-GB"/>
        </w:rPr>
        <w:t>Cash Flows</w:t>
      </w:r>
      <w:r w:rsidRPr="009736B2">
        <w:rPr>
          <w:lang w:val="en-GB"/>
        </w:rPr>
        <w:t>:</w:t>
      </w:r>
      <w:r w:rsidRPr="009736B2">
        <w:rPr>
          <w:lang w:val="en-GB"/>
        </w:rPr>
        <w:br/>
        <w:t>Year 1: £</w:t>
      </w:r>
      <w:r w:rsidR="00A65934">
        <w:rPr>
          <w:lang w:val="en-GB"/>
        </w:rPr>
        <w:t>300,000</w:t>
      </w:r>
      <w:r w:rsidRPr="009736B2">
        <w:rPr>
          <w:lang w:val="en-GB"/>
        </w:rPr>
        <w:br/>
        <w:t>Year 2: £</w:t>
      </w:r>
      <w:r w:rsidR="00A65934">
        <w:rPr>
          <w:lang w:val="en-GB"/>
        </w:rPr>
        <w:t>340,000</w:t>
      </w:r>
      <w:r w:rsidRPr="009736B2">
        <w:rPr>
          <w:lang w:val="en-GB"/>
        </w:rPr>
        <w:br/>
        <w:t>Year 3: £</w:t>
      </w:r>
      <w:r w:rsidR="00A65934">
        <w:rPr>
          <w:lang w:val="en-GB"/>
        </w:rPr>
        <w:t>360,000</w:t>
      </w:r>
      <w:r w:rsidRPr="009736B2">
        <w:rPr>
          <w:lang w:val="en-GB"/>
        </w:rPr>
        <w:br/>
        <w:t>Year 4: £</w:t>
      </w:r>
      <w:r w:rsidR="00A65934">
        <w:rPr>
          <w:lang w:val="en-GB"/>
        </w:rPr>
        <w:t>380,000</w:t>
      </w:r>
      <w:r w:rsidRPr="009736B2">
        <w:rPr>
          <w:lang w:val="en-GB"/>
        </w:rPr>
        <w:br/>
        <w:t>Year 5: £</w:t>
      </w:r>
      <w:r w:rsidR="00A65934">
        <w:rPr>
          <w:lang w:val="en-GB"/>
        </w:rPr>
        <w:t>400,000</w:t>
      </w:r>
    </w:p>
    <w:p w14:paraId="7BE49EB6" w14:textId="02425900" w:rsidR="009736B2" w:rsidRDefault="009736B2" w:rsidP="009736B2">
      <w:pPr>
        <w:numPr>
          <w:ilvl w:val="0"/>
          <w:numId w:val="10"/>
        </w:numPr>
        <w:rPr>
          <w:lang w:val="en-GB"/>
        </w:rPr>
      </w:pPr>
      <w:r w:rsidRPr="009736B2">
        <w:rPr>
          <w:b/>
          <w:bCs/>
          <w:lang w:val="en-GB"/>
        </w:rPr>
        <w:t>Discount Rate</w:t>
      </w:r>
      <w:r w:rsidRPr="009736B2">
        <w:rPr>
          <w:lang w:val="en-GB"/>
        </w:rPr>
        <w:t>: 9%</w:t>
      </w:r>
    </w:p>
    <w:p w14:paraId="75BC1B45" w14:textId="056F7110" w:rsidR="00A65934" w:rsidRPr="009736B2" w:rsidRDefault="00A65934" w:rsidP="009736B2">
      <w:pPr>
        <w:numPr>
          <w:ilvl w:val="0"/>
          <w:numId w:val="10"/>
        </w:numPr>
        <w:rPr>
          <w:lang w:val="en-GB"/>
        </w:rPr>
      </w:pPr>
      <w:r>
        <w:rPr>
          <w:b/>
          <w:bCs/>
          <w:lang w:val="en-GB"/>
        </w:rPr>
        <w:t>Initial investment</w:t>
      </w:r>
      <w:r w:rsidRPr="00A65934">
        <w:rPr>
          <w:lang w:val="en-GB"/>
        </w:rPr>
        <w:t>:</w:t>
      </w:r>
      <w:r>
        <w:rPr>
          <w:lang w:val="en-GB"/>
        </w:rPr>
        <w:t xml:space="preserve"> £1,200,000</w:t>
      </w:r>
    </w:p>
    <w:p w14:paraId="42C3C7E7" w14:textId="69B5BB70" w:rsidR="009736B2" w:rsidRPr="009736B2" w:rsidRDefault="009736B2" w:rsidP="009736B2">
      <w:pPr>
        <w:rPr>
          <w:lang w:val="en-GB"/>
        </w:rPr>
      </w:pPr>
      <w:r w:rsidRPr="009736B2">
        <w:rPr>
          <w:b/>
          <w:bCs/>
          <w:lang w:val="en-GB"/>
        </w:rPr>
        <w:t>NPV Calculation</w:t>
      </w:r>
      <w:r w:rsidRPr="009736B2">
        <w:rPr>
          <w:lang w:val="en-GB"/>
        </w:rPr>
        <w:t>:</w:t>
      </w:r>
    </w:p>
    <w:p w14:paraId="6D753AFB" w14:textId="3E0073B8" w:rsidR="00A65934" w:rsidRPr="00A65934" w:rsidRDefault="00A65934" w:rsidP="009736B2">
      <w:pPr>
        <w:numPr>
          <w:ilvl w:val="0"/>
          <w:numId w:val="10"/>
        </w:numPr>
        <w:rPr>
          <w:lang w:val="en-GB"/>
        </w:rPr>
      </w:pPr>
      <w:r w:rsidRPr="00A65934">
        <w:rPr>
          <w:b/>
          <w:bCs/>
        </w:rPr>
        <w:t>NPV</w:t>
      </w:r>
      <w:r w:rsidRPr="00A65934">
        <w:t>=1.091300,000​+1.092340,000​+1.093360,000​+1.094380,000​+1.095400,000​−1,200,000=£168,560.74</w:t>
      </w:r>
    </w:p>
    <w:p w14:paraId="72C34007" w14:textId="75A6FBA1" w:rsidR="009736B2" w:rsidRPr="009736B2" w:rsidRDefault="009736B2" w:rsidP="009736B2">
      <w:pPr>
        <w:numPr>
          <w:ilvl w:val="0"/>
          <w:numId w:val="10"/>
        </w:numPr>
        <w:rPr>
          <w:lang w:val="en-GB"/>
        </w:rPr>
      </w:pPr>
      <w:r w:rsidRPr="009736B2">
        <w:rPr>
          <w:b/>
          <w:bCs/>
          <w:lang w:val="en-GB"/>
        </w:rPr>
        <w:t>IRR</w:t>
      </w:r>
      <w:r w:rsidRPr="009736B2">
        <w:rPr>
          <w:lang w:val="en-GB"/>
        </w:rPr>
        <w:t xml:space="preserve">: </w:t>
      </w:r>
      <w:r w:rsidR="00A65934">
        <w:rPr>
          <w:lang w:val="en-GB"/>
        </w:rPr>
        <w:t>14.02</w:t>
      </w:r>
      <w:r w:rsidRPr="009736B2">
        <w:rPr>
          <w:lang w:val="en-GB"/>
        </w:rPr>
        <w:t>%</w:t>
      </w:r>
    </w:p>
    <w:p w14:paraId="1AF95CE9" w14:textId="77777777" w:rsidR="00A65934" w:rsidRPr="00A65934" w:rsidRDefault="009736B2" w:rsidP="00A65934">
      <w:pPr>
        <w:numPr>
          <w:ilvl w:val="0"/>
          <w:numId w:val="10"/>
        </w:numPr>
        <w:rPr>
          <w:lang w:val="en-GB"/>
        </w:rPr>
      </w:pPr>
      <w:r w:rsidRPr="009736B2">
        <w:rPr>
          <w:b/>
          <w:bCs/>
          <w:lang w:val="en-GB"/>
        </w:rPr>
        <w:t>Payback Period</w:t>
      </w:r>
      <w:r w:rsidRPr="009736B2">
        <w:rPr>
          <w:lang w:val="en-GB"/>
        </w:rPr>
        <w:t xml:space="preserve">: </w:t>
      </w:r>
      <w:r w:rsidR="00A65934" w:rsidRPr="00A65934">
        <w:rPr>
          <w:lang w:val="en-GB"/>
        </w:rPr>
        <w:t>Cumulative cash flow to recover £1,200,000:</w:t>
      </w:r>
    </w:p>
    <w:p w14:paraId="6B6E1056" w14:textId="77777777" w:rsidR="00A65934" w:rsidRPr="00A65934" w:rsidRDefault="00A65934" w:rsidP="00A65934">
      <w:pPr>
        <w:rPr>
          <w:lang w:val="en-GB"/>
        </w:rPr>
      </w:pPr>
      <w:r w:rsidRPr="00A65934">
        <w:rPr>
          <w:lang w:val="en-GB"/>
        </w:rPr>
        <w:t>End of Year 1: £300,000</w:t>
      </w:r>
    </w:p>
    <w:p w14:paraId="7875AE32" w14:textId="6749D6B5" w:rsidR="00A65934" w:rsidRPr="00A65934" w:rsidRDefault="00A65934" w:rsidP="00A65934">
      <w:pPr>
        <w:rPr>
          <w:lang w:val="en-GB"/>
        </w:rPr>
      </w:pPr>
      <w:r w:rsidRPr="00A65934">
        <w:rPr>
          <w:lang w:val="en-GB"/>
        </w:rPr>
        <w:t>Year 2: £640,000</w:t>
      </w:r>
    </w:p>
    <w:p w14:paraId="55A8B736" w14:textId="77777777" w:rsidR="00A65934" w:rsidRPr="00A65934" w:rsidRDefault="00A65934" w:rsidP="00A65934">
      <w:pPr>
        <w:rPr>
          <w:lang w:val="en-GB"/>
        </w:rPr>
      </w:pPr>
      <w:r w:rsidRPr="00A65934">
        <w:rPr>
          <w:lang w:val="en-GB"/>
        </w:rPr>
        <w:t>Year 3: £1,000,000</w:t>
      </w:r>
    </w:p>
    <w:p w14:paraId="448986FB" w14:textId="77777777" w:rsidR="00A65934" w:rsidRPr="00A65934" w:rsidRDefault="00A65934" w:rsidP="00A65934">
      <w:pPr>
        <w:rPr>
          <w:lang w:val="en-GB"/>
        </w:rPr>
      </w:pPr>
      <w:r w:rsidRPr="00A65934">
        <w:rPr>
          <w:lang w:val="en-GB"/>
        </w:rPr>
        <w:t>Year 4: £1,380,000</w:t>
      </w:r>
    </w:p>
    <w:p w14:paraId="6B0C2864" w14:textId="77777777" w:rsidR="00A65934" w:rsidRPr="00A65934" w:rsidRDefault="00A65934" w:rsidP="00A65934">
      <w:pPr>
        <w:rPr>
          <w:lang w:val="en-GB"/>
        </w:rPr>
      </w:pPr>
      <w:r w:rsidRPr="00A65934">
        <w:rPr>
          <w:lang w:val="en-GB"/>
        </w:rPr>
        <w:t>Payback occurs between Year 3 and Year 4:</w:t>
      </w:r>
    </w:p>
    <w:p w14:paraId="4BCA3A39" w14:textId="4DD9660B" w:rsidR="00A65934" w:rsidRPr="00A65934" w:rsidRDefault="00A65934" w:rsidP="009736B2">
      <w:pPr>
        <w:numPr>
          <w:ilvl w:val="0"/>
          <w:numId w:val="10"/>
        </w:numPr>
        <w:rPr>
          <w:lang w:val="en-GB"/>
        </w:rPr>
      </w:pPr>
      <w:r w:rsidRPr="00A65934">
        <w:t>Payback=3+1,200,000−1,000,000</w:t>
      </w:r>
      <w:r>
        <w:t xml:space="preserve"> divided by 380,000 = </w:t>
      </w:r>
      <w:r w:rsidRPr="00A65934">
        <w:t>3.53 years</w:t>
      </w:r>
    </w:p>
    <w:p w14:paraId="4A27A905" w14:textId="77777777" w:rsidR="00A65934" w:rsidRDefault="009736B2" w:rsidP="009736B2">
      <w:pPr>
        <w:numPr>
          <w:ilvl w:val="0"/>
          <w:numId w:val="10"/>
        </w:numPr>
        <w:rPr>
          <w:lang w:val="en-GB"/>
        </w:rPr>
      </w:pPr>
      <w:r w:rsidRPr="009736B2">
        <w:rPr>
          <w:b/>
          <w:bCs/>
          <w:lang w:val="en-GB"/>
        </w:rPr>
        <w:t>NRV</w:t>
      </w:r>
      <w:r w:rsidRPr="009736B2">
        <w:rPr>
          <w:lang w:val="en-GB"/>
        </w:rPr>
        <w:t xml:space="preserve">: </w:t>
      </w:r>
    </w:p>
    <w:p w14:paraId="518A31D8" w14:textId="6E8BFE21" w:rsidR="00A65934" w:rsidRPr="00A65934" w:rsidRDefault="00A65934" w:rsidP="00A65934">
      <w:pPr>
        <w:rPr>
          <w:lang w:val="en-GB"/>
        </w:rPr>
      </w:pPr>
      <w:r w:rsidRPr="00A65934">
        <w:lastRenderedPageBreak/>
        <w:t xml:space="preserve">Total Cash Inflows=300K+340K+360K+380K+400K=£1,780,000 </w:t>
      </w:r>
    </w:p>
    <w:p w14:paraId="075C8458" w14:textId="3333F76A" w:rsidR="009736B2" w:rsidRPr="009736B2" w:rsidRDefault="00A65934" w:rsidP="00A65934">
      <w:pPr>
        <w:rPr>
          <w:lang w:val="en-GB"/>
        </w:rPr>
      </w:pPr>
      <w:r>
        <w:t>NRV = 1,780,000 – 1,200,000 = £580,000</w:t>
      </w:r>
    </w:p>
    <w:p w14:paraId="034DD247" w14:textId="77777777" w:rsidR="009736B2" w:rsidRPr="009736B2" w:rsidRDefault="00000000" w:rsidP="009736B2">
      <w:pPr>
        <w:rPr>
          <w:lang w:val="en-GB"/>
        </w:rPr>
      </w:pPr>
      <w:r>
        <w:rPr>
          <w:lang w:val="en-GB"/>
        </w:rPr>
        <w:pict w14:anchorId="4B7D8372">
          <v:rect id="_x0000_i1025" style="width:0;height:1.5pt" o:hralign="center" o:hrstd="t" o:hr="t" fillcolor="#a0a0a0" stroked="f"/>
        </w:pict>
      </w:r>
    </w:p>
    <w:p w14:paraId="5B88AB02" w14:textId="77777777" w:rsidR="009736B2" w:rsidRPr="009736B2" w:rsidRDefault="009736B2" w:rsidP="009736B2">
      <w:pPr>
        <w:rPr>
          <w:b/>
          <w:bCs/>
          <w:lang w:val="en-GB"/>
        </w:rPr>
      </w:pPr>
      <w:r w:rsidRPr="009736B2">
        <w:rPr>
          <w:b/>
          <w:bCs/>
          <w:lang w:val="en-GB"/>
        </w:rPr>
        <w:t>Project B – Net-Zero Housing</w:t>
      </w:r>
    </w:p>
    <w:p w14:paraId="251554EE" w14:textId="741441B7" w:rsidR="009736B2" w:rsidRDefault="009736B2" w:rsidP="009736B2">
      <w:pPr>
        <w:numPr>
          <w:ilvl w:val="0"/>
          <w:numId w:val="11"/>
        </w:numPr>
        <w:rPr>
          <w:lang w:val="en-GB"/>
        </w:rPr>
      </w:pPr>
      <w:r w:rsidRPr="009736B2">
        <w:rPr>
          <w:b/>
          <w:bCs/>
          <w:lang w:val="en-GB"/>
        </w:rPr>
        <w:t>Cash Flows</w:t>
      </w:r>
      <w:r w:rsidRPr="009736B2">
        <w:rPr>
          <w:lang w:val="en-GB"/>
        </w:rPr>
        <w:t>:</w:t>
      </w:r>
      <w:r w:rsidRPr="009736B2">
        <w:rPr>
          <w:lang w:val="en-GB"/>
        </w:rPr>
        <w:br/>
        <w:t>Year 1: £</w:t>
      </w:r>
      <w:r w:rsidR="00A65934">
        <w:rPr>
          <w:lang w:val="en-GB"/>
        </w:rPr>
        <w:t>200,000</w:t>
      </w:r>
      <w:r w:rsidRPr="009736B2">
        <w:rPr>
          <w:lang w:val="en-GB"/>
        </w:rPr>
        <w:br/>
        <w:t>Year 2: £</w:t>
      </w:r>
      <w:r w:rsidR="00A65934">
        <w:rPr>
          <w:lang w:val="en-GB"/>
        </w:rPr>
        <w:t>220,000</w:t>
      </w:r>
      <w:r w:rsidRPr="009736B2">
        <w:rPr>
          <w:lang w:val="en-GB"/>
        </w:rPr>
        <w:br/>
        <w:t>Year 3: £</w:t>
      </w:r>
      <w:r w:rsidR="00A65934">
        <w:rPr>
          <w:lang w:val="en-GB"/>
        </w:rPr>
        <w:t>240,000</w:t>
      </w:r>
      <w:r w:rsidRPr="009736B2">
        <w:rPr>
          <w:lang w:val="en-GB"/>
        </w:rPr>
        <w:br/>
        <w:t>Year 4: £</w:t>
      </w:r>
      <w:r w:rsidR="00A65934">
        <w:rPr>
          <w:lang w:val="en-GB"/>
        </w:rPr>
        <w:t>260,000</w:t>
      </w:r>
      <w:r w:rsidRPr="009736B2">
        <w:rPr>
          <w:lang w:val="en-GB"/>
        </w:rPr>
        <w:br/>
        <w:t>Year 5: £</w:t>
      </w:r>
      <w:r w:rsidR="00A65934">
        <w:rPr>
          <w:lang w:val="en-GB"/>
        </w:rPr>
        <w:t>280,000</w:t>
      </w:r>
    </w:p>
    <w:p w14:paraId="0F41C98C" w14:textId="4879F034" w:rsidR="00A65934" w:rsidRDefault="00A65934" w:rsidP="009736B2">
      <w:pPr>
        <w:numPr>
          <w:ilvl w:val="0"/>
          <w:numId w:val="11"/>
        </w:numPr>
        <w:rPr>
          <w:lang w:val="en-GB"/>
        </w:rPr>
      </w:pPr>
      <w:r>
        <w:rPr>
          <w:b/>
          <w:bCs/>
          <w:lang w:val="en-GB"/>
        </w:rPr>
        <w:t>Discount rate</w:t>
      </w:r>
      <w:r w:rsidRPr="00A65934">
        <w:rPr>
          <w:lang w:val="en-GB"/>
        </w:rPr>
        <w:t>:</w:t>
      </w:r>
      <w:r>
        <w:rPr>
          <w:lang w:val="en-GB"/>
        </w:rPr>
        <w:t xml:space="preserve"> 9%</w:t>
      </w:r>
    </w:p>
    <w:p w14:paraId="7EAEC9F5" w14:textId="5491296A" w:rsidR="00A65934" w:rsidRPr="009736B2" w:rsidRDefault="00A65934" w:rsidP="009736B2">
      <w:pPr>
        <w:numPr>
          <w:ilvl w:val="0"/>
          <w:numId w:val="11"/>
        </w:numPr>
        <w:rPr>
          <w:lang w:val="en-GB"/>
        </w:rPr>
      </w:pPr>
      <w:r>
        <w:rPr>
          <w:b/>
          <w:bCs/>
          <w:lang w:val="en-GB"/>
        </w:rPr>
        <w:t>Initial investment</w:t>
      </w:r>
      <w:r w:rsidRPr="00A65934">
        <w:rPr>
          <w:lang w:val="en-GB"/>
        </w:rPr>
        <w:t>:</w:t>
      </w:r>
      <w:r>
        <w:rPr>
          <w:lang w:val="en-GB"/>
        </w:rPr>
        <w:t xml:space="preserve"> £1,100,000</w:t>
      </w:r>
    </w:p>
    <w:p w14:paraId="3E67F9D7" w14:textId="77777777" w:rsidR="009736B2" w:rsidRPr="009736B2" w:rsidRDefault="009736B2" w:rsidP="009736B2">
      <w:pPr>
        <w:numPr>
          <w:ilvl w:val="0"/>
          <w:numId w:val="11"/>
        </w:numPr>
        <w:rPr>
          <w:lang w:val="en-GB"/>
        </w:rPr>
      </w:pPr>
      <w:r w:rsidRPr="009736B2">
        <w:rPr>
          <w:b/>
          <w:bCs/>
          <w:lang w:val="en-GB"/>
        </w:rPr>
        <w:t>NPV Calculation</w:t>
      </w:r>
      <w:r w:rsidRPr="009736B2">
        <w:rPr>
          <w:lang w:val="en-GB"/>
        </w:rPr>
        <w:t>:</w:t>
      </w:r>
    </w:p>
    <w:p w14:paraId="3F0674C1" w14:textId="77777777" w:rsidR="00C60AB9" w:rsidRPr="00C60AB9" w:rsidRDefault="00C60AB9" w:rsidP="00C60AB9">
      <w:pPr>
        <w:ind w:left="360"/>
        <w:rPr>
          <w:lang w:val="en-GB"/>
        </w:rPr>
      </w:pPr>
      <w:r w:rsidRPr="00C60AB9">
        <w:t>NPV=1.091200,000​+1.092220,000​+1.093240,000​+1.094260,000​+1.095280,000​−1,100,000=−£179,848.78​</w:t>
      </w:r>
    </w:p>
    <w:p w14:paraId="44BBFB69" w14:textId="6C6ACC46" w:rsidR="00C60AB9" w:rsidRPr="00C60AB9" w:rsidRDefault="009736B2" w:rsidP="00C60AB9">
      <w:pPr>
        <w:numPr>
          <w:ilvl w:val="0"/>
          <w:numId w:val="11"/>
        </w:numPr>
        <w:rPr>
          <w:lang w:val="en-GB"/>
        </w:rPr>
      </w:pPr>
      <w:r w:rsidRPr="009736B2">
        <w:rPr>
          <w:b/>
          <w:bCs/>
          <w:lang w:val="en-GB"/>
        </w:rPr>
        <w:t>IRR</w:t>
      </w:r>
      <w:r w:rsidRPr="009736B2">
        <w:rPr>
          <w:lang w:val="en-GB"/>
        </w:rPr>
        <w:t xml:space="preserve">: </w:t>
      </w:r>
      <w:r w:rsidR="00C60AB9">
        <w:rPr>
          <w:lang w:val="en-GB"/>
        </w:rPr>
        <w:t>2.81%</w:t>
      </w:r>
    </w:p>
    <w:p w14:paraId="4BA015F8" w14:textId="582B9476" w:rsidR="009736B2" w:rsidRDefault="009736B2" w:rsidP="009736B2">
      <w:pPr>
        <w:numPr>
          <w:ilvl w:val="0"/>
          <w:numId w:val="11"/>
        </w:numPr>
        <w:rPr>
          <w:lang w:val="en-GB"/>
        </w:rPr>
      </w:pPr>
      <w:r w:rsidRPr="009736B2">
        <w:rPr>
          <w:b/>
          <w:bCs/>
          <w:lang w:val="en-GB"/>
        </w:rPr>
        <w:t>Payback Period</w:t>
      </w:r>
      <w:r w:rsidRPr="009736B2">
        <w:rPr>
          <w:lang w:val="en-GB"/>
        </w:rPr>
        <w:t xml:space="preserve">: </w:t>
      </w:r>
    </w:p>
    <w:p w14:paraId="0DDC7DE2" w14:textId="77777777" w:rsidR="00C60AB9" w:rsidRPr="00C60AB9" w:rsidRDefault="00C60AB9" w:rsidP="00C60AB9">
      <w:pPr>
        <w:rPr>
          <w:lang w:val="en-GB"/>
        </w:rPr>
      </w:pPr>
      <w:r w:rsidRPr="00C60AB9">
        <w:rPr>
          <w:lang w:val="en-GB"/>
        </w:rPr>
        <w:t>Cumulative inflows:</w:t>
      </w:r>
    </w:p>
    <w:p w14:paraId="5ED5F495" w14:textId="77777777" w:rsidR="00C60AB9" w:rsidRPr="00C60AB9" w:rsidRDefault="00C60AB9" w:rsidP="00C60AB9">
      <w:pPr>
        <w:rPr>
          <w:lang w:val="en-GB"/>
        </w:rPr>
      </w:pPr>
      <w:r w:rsidRPr="00C60AB9">
        <w:rPr>
          <w:lang w:val="en-GB"/>
        </w:rPr>
        <w:t>End of Year 1: £200K</w:t>
      </w:r>
    </w:p>
    <w:p w14:paraId="5114DBC8" w14:textId="77777777" w:rsidR="00C60AB9" w:rsidRPr="00C60AB9" w:rsidRDefault="00C60AB9" w:rsidP="00C60AB9">
      <w:pPr>
        <w:rPr>
          <w:lang w:val="en-GB"/>
        </w:rPr>
      </w:pPr>
      <w:r w:rsidRPr="00C60AB9">
        <w:rPr>
          <w:lang w:val="en-GB"/>
        </w:rPr>
        <w:t>Year 2: £420K</w:t>
      </w:r>
    </w:p>
    <w:p w14:paraId="284077D3" w14:textId="77777777" w:rsidR="00C60AB9" w:rsidRPr="00C60AB9" w:rsidRDefault="00C60AB9" w:rsidP="00C60AB9">
      <w:pPr>
        <w:rPr>
          <w:lang w:val="en-GB"/>
        </w:rPr>
      </w:pPr>
      <w:r w:rsidRPr="00C60AB9">
        <w:rPr>
          <w:lang w:val="en-GB"/>
        </w:rPr>
        <w:t>Year 3: £660K</w:t>
      </w:r>
    </w:p>
    <w:p w14:paraId="4C41B045" w14:textId="77777777" w:rsidR="00C60AB9" w:rsidRPr="00C60AB9" w:rsidRDefault="00C60AB9" w:rsidP="00C60AB9">
      <w:pPr>
        <w:rPr>
          <w:lang w:val="en-GB"/>
        </w:rPr>
      </w:pPr>
      <w:r w:rsidRPr="00C60AB9">
        <w:rPr>
          <w:lang w:val="en-GB"/>
        </w:rPr>
        <w:t>Year 4: £920K</w:t>
      </w:r>
    </w:p>
    <w:p w14:paraId="0F142002" w14:textId="77777777" w:rsidR="00C60AB9" w:rsidRPr="00C60AB9" w:rsidRDefault="00C60AB9" w:rsidP="00C60AB9">
      <w:pPr>
        <w:rPr>
          <w:lang w:val="en-GB"/>
        </w:rPr>
      </w:pPr>
      <w:r w:rsidRPr="00C60AB9">
        <w:rPr>
          <w:lang w:val="en-GB"/>
        </w:rPr>
        <w:t>Year 5: £1,200K</w:t>
      </w:r>
    </w:p>
    <w:p w14:paraId="121CB782" w14:textId="77777777" w:rsidR="00C60AB9" w:rsidRPr="00C60AB9" w:rsidRDefault="00C60AB9" w:rsidP="00C60AB9">
      <w:pPr>
        <w:rPr>
          <w:lang w:val="en-GB"/>
        </w:rPr>
      </w:pPr>
      <w:r w:rsidRPr="00C60AB9">
        <w:rPr>
          <w:lang w:val="en-GB"/>
        </w:rPr>
        <w:t>Payback happens in Year 5:</w:t>
      </w:r>
    </w:p>
    <w:p w14:paraId="455DE29F" w14:textId="240B395E" w:rsidR="00C60AB9" w:rsidRPr="00C60AB9" w:rsidRDefault="00C60AB9" w:rsidP="009736B2">
      <w:pPr>
        <w:numPr>
          <w:ilvl w:val="0"/>
          <w:numId w:val="11"/>
        </w:numPr>
        <w:rPr>
          <w:lang w:val="en-GB"/>
        </w:rPr>
      </w:pPr>
      <w:r w:rsidRPr="00C60AB9">
        <w:t>Payback=4+1,100,000−920,000</w:t>
      </w:r>
      <w:r>
        <w:t xml:space="preserve"> divide 280,000 = </w:t>
      </w:r>
      <w:r w:rsidRPr="00C60AB9">
        <w:t>4.64 years</w:t>
      </w:r>
    </w:p>
    <w:p w14:paraId="5777B258" w14:textId="5DA49BEB" w:rsidR="009736B2" w:rsidRDefault="009736B2" w:rsidP="009736B2">
      <w:pPr>
        <w:numPr>
          <w:ilvl w:val="0"/>
          <w:numId w:val="11"/>
        </w:numPr>
        <w:rPr>
          <w:lang w:val="en-GB"/>
        </w:rPr>
      </w:pPr>
      <w:r w:rsidRPr="009736B2">
        <w:rPr>
          <w:b/>
          <w:bCs/>
          <w:lang w:val="en-GB"/>
        </w:rPr>
        <w:t>NRV</w:t>
      </w:r>
      <w:r w:rsidRPr="009736B2">
        <w:rPr>
          <w:lang w:val="en-GB"/>
        </w:rPr>
        <w:t xml:space="preserve">: </w:t>
      </w:r>
    </w:p>
    <w:p w14:paraId="5463D3BF" w14:textId="226DB844" w:rsidR="00C60AB9" w:rsidRPr="009736B2" w:rsidRDefault="00C60AB9" w:rsidP="00C60AB9">
      <w:pPr>
        <w:rPr>
          <w:lang w:val="en-GB"/>
        </w:rPr>
      </w:pPr>
      <w:r w:rsidRPr="00C60AB9">
        <w:t>NRV=200K+220K+240K+260K+280K−1,100,000=£100,000</w:t>
      </w:r>
    </w:p>
    <w:p w14:paraId="694BCA55" w14:textId="77777777" w:rsidR="009736B2" w:rsidRDefault="009736B2"/>
    <w:p w14:paraId="188D2185" w14:textId="77777777" w:rsidR="003C6D2B" w:rsidRDefault="00000000">
      <w:pPr>
        <w:pStyle w:val="Heading1"/>
      </w:pPr>
      <w:r>
        <w:lastRenderedPageBreak/>
        <w:t>Capital Budgeting Summary</w:t>
      </w:r>
    </w:p>
    <w:tbl>
      <w:tblPr>
        <w:tblStyle w:val="LightGrid"/>
        <w:tblW w:w="0" w:type="auto"/>
        <w:tblLook w:val="04A0" w:firstRow="1" w:lastRow="0" w:firstColumn="1" w:lastColumn="0" w:noHBand="0" w:noVBand="1"/>
      </w:tblPr>
      <w:tblGrid>
        <w:gridCol w:w="2872"/>
        <w:gridCol w:w="2874"/>
        <w:gridCol w:w="2874"/>
      </w:tblGrid>
      <w:tr w:rsidR="003C6D2B" w14:paraId="7D34322B" w14:textId="77777777" w:rsidTr="003C6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94BA096" w14:textId="77777777" w:rsidR="003C6D2B" w:rsidRDefault="00000000">
            <w:r>
              <w:t>Metric</w:t>
            </w:r>
          </w:p>
        </w:tc>
        <w:tc>
          <w:tcPr>
            <w:tcW w:w="2880" w:type="dxa"/>
          </w:tcPr>
          <w:p w14:paraId="655CA050" w14:textId="77777777" w:rsidR="003C6D2B" w:rsidRDefault="00000000">
            <w:pPr>
              <w:cnfStyle w:val="100000000000" w:firstRow="1" w:lastRow="0" w:firstColumn="0" w:lastColumn="0" w:oddVBand="0" w:evenVBand="0" w:oddHBand="0" w:evenHBand="0" w:firstRowFirstColumn="0" w:firstRowLastColumn="0" w:lastRowFirstColumn="0" w:lastRowLastColumn="0"/>
            </w:pPr>
            <w:r>
              <w:t>Project A: Green Office Tower</w:t>
            </w:r>
          </w:p>
        </w:tc>
        <w:tc>
          <w:tcPr>
            <w:tcW w:w="2880" w:type="dxa"/>
          </w:tcPr>
          <w:p w14:paraId="2D7F06CA" w14:textId="77777777" w:rsidR="003C6D2B" w:rsidRDefault="00000000">
            <w:pPr>
              <w:cnfStyle w:val="100000000000" w:firstRow="1" w:lastRow="0" w:firstColumn="0" w:lastColumn="0" w:oddVBand="0" w:evenVBand="0" w:oddHBand="0" w:evenHBand="0" w:firstRowFirstColumn="0" w:firstRowLastColumn="0" w:lastRowFirstColumn="0" w:lastRowLastColumn="0"/>
            </w:pPr>
            <w:r>
              <w:t>Project B: Net-Zero Housing</w:t>
            </w:r>
          </w:p>
        </w:tc>
      </w:tr>
      <w:tr w:rsidR="003C6D2B" w14:paraId="142FFEEB" w14:textId="77777777" w:rsidTr="003C6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675A411" w14:textId="77777777" w:rsidR="003C6D2B" w:rsidRDefault="00000000">
            <w:r>
              <w:t>NPV (£)</w:t>
            </w:r>
          </w:p>
        </w:tc>
        <w:tc>
          <w:tcPr>
            <w:tcW w:w="2880" w:type="dxa"/>
          </w:tcPr>
          <w:p w14:paraId="7A23F12C" w14:textId="58C8E837" w:rsidR="003C6D2B" w:rsidRDefault="00000000">
            <w:pPr>
              <w:cnfStyle w:val="000000100000" w:firstRow="0" w:lastRow="0" w:firstColumn="0" w:lastColumn="0" w:oddVBand="0" w:evenVBand="0" w:oddHBand="1" w:evenHBand="0" w:firstRowFirstColumn="0" w:firstRowLastColumn="0" w:lastRowFirstColumn="0" w:lastRowLastColumn="0"/>
            </w:pPr>
            <w:r>
              <w:t>£</w:t>
            </w:r>
            <w:r w:rsidR="00C60AB9">
              <w:t>168,560.74</w:t>
            </w:r>
          </w:p>
        </w:tc>
        <w:tc>
          <w:tcPr>
            <w:tcW w:w="2880" w:type="dxa"/>
          </w:tcPr>
          <w:p w14:paraId="4FE80C63" w14:textId="0BEFE7B3" w:rsidR="003C6D2B" w:rsidRDefault="00000000">
            <w:pPr>
              <w:cnfStyle w:val="000000100000" w:firstRow="0" w:lastRow="0" w:firstColumn="0" w:lastColumn="0" w:oddVBand="0" w:evenVBand="0" w:oddHBand="1" w:evenHBand="0" w:firstRowFirstColumn="0" w:firstRowLastColumn="0" w:lastRowFirstColumn="0" w:lastRowLastColumn="0"/>
            </w:pPr>
            <w:r>
              <w:t>-£</w:t>
            </w:r>
            <w:r w:rsidR="00C60AB9">
              <w:t>179,848.78</w:t>
            </w:r>
          </w:p>
        </w:tc>
      </w:tr>
      <w:tr w:rsidR="003C6D2B" w14:paraId="2CFD2069" w14:textId="77777777" w:rsidTr="003C6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05345C1" w14:textId="77777777" w:rsidR="003C6D2B" w:rsidRDefault="00000000">
            <w:r>
              <w:t>IRR (%)</w:t>
            </w:r>
          </w:p>
        </w:tc>
        <w:tc>
          <w:tcPr>
            <w:tcW w:w="2880" w:type="dxa"/>
          </w:tcPr>
          <w:p w14:paraId="65A7C26C" w14:textId="5D4833A4" w:rsidR="003C6D2B" w:rsidRDefault="00C60AB9">
            <w:pPr>
              <w:cnfStyle w:val="000000010000" w:firstRow="0" w:lastRow="0" w:firstColumn="0" w:lastColumn="0" w:oddVBand="0" w:evenVBand="0" w:oddHBand="0" w:evenHBand="1" w:firstRowFirstColumn="0" w:firstRowLastColumn="0" w:lastRowFirstColumn="0" w:lastRowLastColumn="0"/>
            </w:pPr>
            <w:r>
              <w:t>14.02</w:t>
            </w:r>
            <w:r w:rsidR="009736B2">
              <w:t>%</w:t>
            </w:r>
          </w:p>
        </w:tc>
        <w:tc>
          <w:tcPr>
            <w:tcW w:w="2880" w:type="dxa"/>
          </w:tcPr>
          <w:p w14:paraId="6FDA83BF" w14:textId="44A42DEB" w:rsidR="003C6D2B" w:rsidRDefault="00C60AB9">
            <w:pPr>
              <w:cnfStyle w:val="000000010000" w:firstRow="0" w:lastRow="0" w:firstColumn="0" w:lastColumn="0" w:oddVBand="0" w:evenVBand="0" w:oddHBand="0" w:evenHBand="1" w:firstRowFirstColumn="0" w:firstRowLastColumn="0" w:lastRowFirstColumn="0" w:lastRowLastColumn="0"/>
            </w:pPr>
            <w:r>
              <w:t>2.81</w:t>
            </w:r>
            <w:r w:rsidR="009736B2">
              <w:t>%</w:t>
            </w:r>
          </w:p>
        </w:tc>
      </w:tr>
      <w:tr w:rsidR="003C6D2B" w14:paraId="5BB7EBF4" w14:textId="77777777" w:rsidTr="003C6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5D136E3" w14:textId="77777777" w:rsidR="003C6D2B" w:rsidRDefault="00000000">
            <w:r>
              <w:t>Payback Period (Years)</w:t>
            </w:r>
          </w:p>
        </w:tc>
        <w:tc>
          <w:tcPr>
            <w:tcW w:w="2880" w:type="dxa"/>
          </w:tcPr>
          <w:p w14:paraId="463354AB" w14:textId="5E3123DF" w:rsidR="003C6D2B" w:rsidRDefault="00000000">
            <w:pPr>
              <w:cnfStyle w:val="000000100000" w:firstRow="0" w:lastRow="0" w:firstColumn="0" w:lastColumn="0" w:oddVBand="0" w:evenVBand="0" w:oddHBand="1" w:evenHBand="0" w:firstRowFirstColumn="0" w:firstRowLastColumn="0" w:lastRowFirstColumn="0" w:lastRowLastColumn="0"/>
            </w:pPr>
            <w:r>
              <w:t>3</w:t>
            </w:r>
            <w:r w:rsidR="00C60AB9">
              <w:t>.53</w:t>
            </w:r>
          </w:p>
        </w:tc>
        <w:tc>
          <w:tcPr>
            <w:tcW w:w="2880" w:type="dxa"/>
          </w:tcPr>
          <w:p w14:paraId="3A43F26C" w14:textId="59703131" w:rsidR="003C6D2B" w:rsidRDefault="00C60AB9">
            <w:pPr>
              <w:cnfStyle w:val="000000100000" w:firstRow="0" w:lastRow="0" w:firstColumn="0" w:lastColumn="0" w:oddVBand="0" w:evenVBand="0" w:oddHBand="1" w:evenHBand="0" w:firstRowFirstColumn="0" w:firstRowLastColumn="0" w:lastRowFirstColumn="0" w:lastRowLastColumn="0"/>
            </w:pPr>
            <w:r>
              <w:t>4.64</w:t>
            </w:r>
          </w:p>
        </w:tc>
      </w:tr>
      <w:tr w:rsidR="003C6D2B" w14:paraId="427E7A3B" w14:textId="77777777" w:rsidTr="003C6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9E3DDDC" w14:textId="77777777" w:rsidR="003C6D2B" w:rsidRDefault="00000000">
            <w:r>
              <w:t>Net Return Value (£)</w:t>
            </w:r>
          </w:p>
        </w:tc>
        <w:tc>
          <w:tcPr>
            <w:tcW w:w="2880" w:type="dxa"/>
          </w:tcPr>
          <w:p w14:paraId="75C3222D" w14:textId="1428EDBA" w:rsidR="003C6D2B" w:rsidRDefault="00000000">
            <w:pPr>
              <w:cnfStyle w:val="000000010000" w:firstRow="0" w:lastRow="0" w:firstColumn="0" w:lastColumn="0" w:oddVBand="0" w:evenVBand="0" w:oddHBand="0" w:evenHBand="1" w:firstRowFirstColumn="0" w:firstRowLastColumn="0" w:lastRowFirstColumn="0" w:lastRowLastColumn="0"/>
            </w:pPr>
            <w:r>
              <w:t>£</w:t>
            </w:r>
            <w:r w:rsidR="00C60AB9">
              <w:t>580,000</w:t>
            </w:r>
          </w:p>
        </w:tc>
        <w:tc>
          <w:tcPr>
            <w:tcW w:w="2880" w:type="dxa"/>
          </w:tcPr>
          <w:p w14:paraId="5A030FB5" w14:textId="76FB2A23" w:rsidR="003C6D2B" w:rsidRDefault="009736B2">
            <w:pPr>
              <w:cnfStyle w:val="000000010000" w:firstRow="0" w:lastRow="0" w:firstColumn="0" w:lastColumn="0" w:oddVBand="0" w:evenVBand="0" w:oddHBand="0" w:evenHBand="1" w:firstRowFirstColumn="0" w:firstRowLastColumn="0" w:lastRowFirstColumn="0" w:lastRowLastColumn="0"/>
            </w:pPr>
            <w:r>
              <w:t>£1</w:t>
            </w:r>
            <w:r w:rsidR="00C60AB9">
              <w:t>00,000</w:t>
            </w:r>
          </w:p>
        </w:tc>
      </w:tr>
    </w:tbl>
    <w:p w14:paraId="0923FD5B" w14:textId="1C8C845E" w:rsidR="003C6D2B" w:rsidRDefault="003C6D2B">
      <w:pPr>
        <w:rPr>
          <w:noProof/>
        </w:rPr>
      </w:pPr>
    </w:p>
    <w:p w14:paraId="6ABC9052" w14:textId="00874CE3" w:rsidR="00C60AB9" w:rsidRDefault="004A560A">
      <w:pPr>
        <w:rPr>
          <w:noProof/>
        </w:rPr>
      </w:pPr>
      <w:r>
        <w:rPr>
          <w:noProof/>
        </w:rPr>
        <w:drawing>
          <wp:inline distT="0" distB="0" distL="0" distR="0" wp14:anchorId="619D3FC8" wp14:editId="0520C147">
            <wp:extent cx="5029200" cy="3017520"/>
            <wp:effectExtent l="0" t="0" r="0" b="0"/>
            <wp:docPr id="1" name="Picture 1" descr="A green and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ue squares&#10;&#10;AI-generated content may be incorrect."/>
                    <pic:cNvPicPr/>
                  </pic:nvPicPr>
                  <pic:blipFill>
                    <a:blip r:embed="rId6"/>
                    <a:stretch>
                      <a:fillRect/>
                    </a:stretch>
                  </pic:blipFill>
                  <pic:spPr>
                    <a:xfrm>
                      <a:off x="0" y="0"/>
                      <a:ext cx="5029200" cy="3017520"/>
                    </a:xfrm>
                    <a:prstGeom prst="rect">
                      <a:avLst/>
                    </a:prstGeom>
                  </pic:spPr>
                </pic:pic>
              </a:graphicData>
            </a:graphic>
          </wp:inline>
        </w:drawing>
      </w:r>
    </w:p>
    <w:p w14:paraId="26455197" w14:textId="77777777" w:rsidR="00C60AB9" w:rsidRDefault="00C60AB9"/>
    <w:p w14:paraId="44BB5051" w14:textId="77777777" w:rsidR="003C6D2B" w:rsidRDefault="00000000">
      <w:r>
        <w:t>Figure 1: NPV Comparison between Project A and Project B</w:t>
      </w:r>
    </w:p>
    <w:p w14:paraId="61051F78" w14:textId="77777777" w:rsidR="003C6D2B" w:rsidRDefault="00000000">
      <w:pPr>
        <w:pStyle w:val="Heading1"/>
      </w:pPr>
      <w:r>
        <w:t>Strategic Analysis</w:t>
      </w:r>
    </w:p>
    <w:p w14:paraId="1C953BF4" w14:textId="14EB3BDB" w:rsidR="003C6D2B" w:rsidRDefault="00000000" w:rsidP="00E113BE">
      <w:pPr>
        <w:pStyle w:val="ListNumber"/>
        <w:numPr>
          <w:ilvl w:val="0"/>
          <w:numId w:val="12"/>
        </w:numPr>
      </w:pPr>
      <w:r>
        <w:t>Which project offers higher financial return?</w:t>
      </w:r>
    </w:p>
    <w:p w14:paraId="15CDE643" w14:textId="77777777" w:rsidR="004A560A" w:rsidRPr="004A560A" w:rsidRDefault="004A560A" w:rsidP="004A560A">
      <w:pPr>
        <w:spacing w:before="100" w:beforeAutospacing="1" w:after="100" w:afterAutospacing="1" w:line="240" w:lineRule="auto"/>
        <w:rPr>
          <w:rFonts w:ascii="Times New Roman" w:eastAsia="Times New Roman" w:hAnsi="Times New Roman" w:cs="Times New Roman"/>
          <w:sz w:val="24"/>
          <w:szCs w:val="24"/>
          <w:lang w:val="en-GB" w:eastAsia="en-GB"/>
        </w:rPr>
      </w:pPr>
      <w:r w:rsidRPr="004A560A">
        <w:rPr>
          <w:rFonts w:ascii="Times New Roman" w:eastAsia="Times New Roman" w:hAnsi="Times New Roman" w:cs="Times New Roman"/>
          <w:sz w:val="24"/>
          <w:szCs w:val="24"/>
          <w:lang w:val="en-GB" w:eastAsia="en-GB"/>
        </w:rPr>
        <w:t>Project A: Green Office Tower offers the higher financial return.</w:t>
      </w:r>
    </w:p>
    <w:p w14:paraId="1707453A" w14:textId="77777777" w:rsidR="004A560A" w:rsidRPr="004A560A" w:rsidRDefault="004A560A" w:rsidP="004A560A">
      <w:pPr>
        <w:pStyle w:val="NoSpacing"/>
        <w:rPr>
          <w:lang w:val="en-GB" w:eastAsia="en-GB"/>
        </w:rPr>
      </w:pPr>
      <w:r w:rsidRPr="004A560A">
        <w:rPr>
          <w:lang w:val="en-GB" w:eastAsia="en-GB"/>
        </w:rPr>
        <w:t>NPV: £168,560.74 (positive) vs. Project B’s negative NPV of -£179,848.78.</w:t>
      </w:r>
    </w:p>
    <w:p w14:paraId="0CF76DFB" w14:textId="77777777" w:rsidR="004A560A" w:rsidRPr="004A560A" w:rsidRDefault="004A560A" w:rsidP="004A560A">
      <w:pPr>
        <w:pStyle w:val="NoSpacing"/>
        <w:rPr>
          <w:lang w:val="en-GB" w:eastAsia="en-GB"/>
        </w:rPr>
      </w:pPr>
      <w:r w:rsidRPr="004A560A">
        <w:rPr>
          <w:lang w:val="en-GB" w:eastAsia="en-GB"/>
        </w:rPr>
        <w:t>IRR: 14.02% (well above the 9% discount rate) vs. Project B’s 2.81% (below discount rate).</w:t>
      </w:r>
    </w:p>
    <w:p w14:paraId="0B42FA99" w14:textId="77777777" w:rsidR="004A560A" w:rsidRPr="004A560A" w:rsidRDefault="004A560A" w:rsidP="004A560A">
      <w:pPr>
        <w:pStyle w:val="NoSpacing"/>
        <w:rPr>
          <w:lang w:val="en-GB" w:eastAsia="en-GB"/>
        </w:rPr>
      </w:pPr>
      <w:r w:rsidRPr="004A560A">
        <w:rPr>
          <w:lang w:val="en-GB" w:eastAsia="en-GB"/>
        </w:rPr>
        <w:t>Payback Period: 3.53 years for Project A is shorter than 4.64 years for Project B.</w:t>
      </w:r>
    </w:p>
    <w:p w14:paraId="23946CD7" w14:textId="77777777" w:rsidR="004A560A" w:rsidRDefault="004A560A" w:rsidP="004A560A">
      <w:pPr>
        <w:pStyle w:val="NoSpacing"/>
        <w:rPr>
          <w:lang w:val="en-GB" w:eastAsia="en-GB"/>
        </w:rPr>
      </w:pPr>
      <w:r w:rsidRPr="004A560A">
        <w:rPr>
          <w:lang w:val="en-GB" w:eastAsia="en-GB"/>
        </w:rPr>
        <w:t>Net Return Value: £580,000 vs. £100,000.</w:t>
      </w:r>
      <w:r w:rsidRPr="004A560A">
        <w:rPr>
          <w:lang w:val="en-GB" w:eastAsia="en-GB"/>
        </w:rPr>
        <w:br/>
        <w:t>This indicates Project A is more financially attractive and recovers its investment faster.</w:t>
      </w:r>
    </w:p>
    <w:p w14:paraId="72D20CED" w14:textId="77777777" w:rsidR="004A560A" w:rsidRPr="004A560A" w:rsidRDefault="004A560A" w:rsidP="004A560A">
      <w:pPr>
        <w:pStyle w:val="NoSpacing"/>
        <w:rPr>
          <w:lang w:val="en-GB" w:eastAsia="en-GB"/>
        </w:rPr>
      </w:pPr>
    </w:p>
    <w:p w14:paraId="6E1FBF33" w14:textId="03809570" w:rsidR="003C6D2B" w:rsidRDefault="00000000" w:rsidP="00E113BE">
      <w:pPr>
        <w:pStyle w:val="ListNumber"/>
        <w:numPr>
          <w:ilvl w:val="0"/>
          <w:numId w:val="12"/>
        </w:numPr>
      </w:pPr>
      <w:r>
        <w:t>Which project is more aligned with the firm’s Net-Zero 2040 goal?</w:t>
      </w:r>
    </w:p>
    <w:p w14:paraId="5A8ECB1B" w14:textId="77777777" w:rsidR="004A560A" w:rsidRPr="004A560A" w:rsidRDefault="004A560A" w:rsidP="004A560A">
      <w:pPr>
        <w:spacing w:before="100" w:beforeAutospacing="1" w:after="100" w:afterAutospacing="1" w:line="240" w:lineRule="auto"/>
        <w:rPr>
          <w:rFonts w:ascii="Times New Roman" w:eastAsia="Times New Roman" w:hAnsi="Times New Roman" w:cs="Times New Roman"/>
          <w:sz w:val="24"/>
          <w:szCs w:val="24"/>
          <w:lang w:val="en-GB" w:eastAsia="en-GB"/>
        </w:rPr>
      </w:pPr>
      <w:r w:rsidRPr="004A560A">
        <w:rPr>
          <w:rFonts w:ascii="Times New Roman" w:eastAsia="Times New Roman" w:hAnsi="Times New Roman" w:cs="Times New Roman"/>
          <w:sz w:val="24"/>
          <w:szCs w:val="24"/>
          <w:lang w:val="en-GB" w:eastAsia="en-GB"/>
        </w:rPr>
        <w:t>Project B: Net-Zero Community Housing is more aligned with the Net-Zero 2040 goal.</w:t>
      </w:r>
    </w:p>
    <w:p w14:paraId="50672445" w14:textId="77777777" w:rsidR="004A560A" w:rsidRDefault="004A560A" w:rsidP="004A560A">
      <w:pPr>
        <w:pStyle w:val="NoSpacing"/>
        <w:rPr>
          <w:lang w:val="en-GB" w:eastAsia="en-GB"/>
        </w:rPr>
      </w:pPr>
      <w:r w:rsidRPr="004A560A">
        <w:rPr>
          <w:lang w:val="en-GB" w:eastAsia="en-GB"/>
        </w:rPr>
        <w:lastRenderedPageBreak/>
        <w:t>It achieves full net-zero carbon neutrality, compared to Project A’s 30% reduction in energy consumption.</w:t>
      </w:r>
    </w:p>
    <w:p w14:paraId="71371873" w14:textId="418CC4D0" w:rsidR="004A560A" w:rsidRDefault="004A560A" w:rsidP="004A560A">
      <w:pPr>
        <w:pStyle w:val="NoSpacing"/>
        <w:rPr>
          <w:lang w:val="en-GB" w:eastAsia="en-GB"/>
        </w:rPr>
      </w:pPr>
      <w:r w:rsidRPr="004A560A">
        <w:rPr>
          <w:lang w:val="en-GB" w:eastAsia="en-GB"/>
        </w:rPr>
        <w:t>This aligns better with ambitious sustainability targets and long-term environmental commitments.</w:t>
      </w:r>
    </w:p>
    <w:p w14:paraId="69D7A9DB" w14:textId="77777777" w:rsidR="004A560A" w:rsidRPr="004A560A" w:rsidRDefault="004A560A" w:rsidP="004A560A">
      <w:pPr>
        <w:pStyle w:val="NoSpacing"/>
        <w:rPr>
          <w:lang w:val="en-GB" w:eastAsia="en-GB"/>
        </w:rPr>
      </w:pPr>
    </w:p>
    <w:p w14:paraId="6610AF5F" w14:textId="549D2840" w:rsidR="003C6D2B" w:rsidRDefault="00000000" w:rsidP="00E113BE">
      <w:pPr>
        <w:pStyle w:val="ListNumber"/>
        <w:numPr>
          <w:ilvl w:val="0"/>
          <w:numId w:val="12"/>
        </w:numPr>
      </w:pPr>
      <w:r>
        <w:t>If liquidity is limited in the next 3 years, which project is safer?</w:t>
      </w:r>
    </w:p>
    <w:p w14:paraId="27EA0539" w14:textId="77777777" w:rsidR="004A560A" w:rsidRPr="004A560A" w:rsidRDefault="004A560A" w:rsidP="004A560A">
      <w:pPr>
        <w:spacing w:before="100" w:beforeAutospacing="1" w:after="100" w:afterAutospacing="1" w:line="240" w:lineRule="auto"/>
        <w:rPr>
          <w:rFonts w:ascii="Times New Roman" w:eastAsia="Times New Roman" w:hAnsi="Times New Roman" w:cs="Times New Roman"/>
          <w:sz w:val="24"/>
          <w:szCs w:val="24"/>
          <w:lang w:val="en-GB" w:eastAsia="en-GB"/>
        </w:rPr>
      </w:pPr>
      <w:r w:rsidRPr="004A560A">
        <w:rPr>
          <w:rFonts w:ascii="Times New Roman" w:eastAsia="Times New Roman" w:hAnsi="Times New Roman" w:cs="Times New Roman"/>
          <w:sz w:val="24"/>
          <w:szCs w:val="24"/>
          <w:lang w:val="en-GB" w:eastAsia="en-GB"/>
        </w:rPr>
        <w:t>Project A is safer given liquidity constraints.</w:t>
      </w:r>
    </w:p>
    <w:p w14:paraId="57D72E0D" w14:textId="77777777" w:rsidR="004A560A" w:rsidRPr="004A560A" w:rsidRDefault="004A560A" w:rsidP="004A560A">
      <w:pPr>
        <w:pStyle w:val="NoSpacing"/>
        <w:rPr>
          <w:lang w:val="en-GB" w:eastAsia="en-GB"/>
        </w:rPr>
      </w:pPr>
      <w:proofErr w:type="spellStart"/>
      <w:r w:rsidRPr="004A560A">
        <w:rPr>
          <w:lang w:val="en-GB" w:eastAsia="en-GB"/>
        </w:rPr>
        <w:t>Its</w:t>
      </w:r>
      <w:proofErr w:type="spellEnd"/>
      <w:r w:rsidRPr="004A560A">
        <w:rPr>
          <w:lang w:val="en-GB" w:eastAsia="en-GB"/>
        </w:rPr>
        <w:t xml:space="preserve"> payback period is 3.53 years, meaning the initial investment is recovered sooner than Project B’s 4.64 years.</w:t>
      </w:r>
    </w:p>
    <w:p w14:paraId="750E9A76" w14:textId="77777777" w:rsidR="004A560A" w:rsidRPr="004A560A" w:rsidRDefault="004A560A" w:rsidP="004A560A">
      <w:pPr>
        <w:pStyle w:val="NoSpacing"/>
        <w:rPr>
          <w:lang w:val="en-GB" w:eastAsia="en-GB"/>
        </w:rPr>
      </w:pPr>
      <w:r w:rsidRPr="004A560A">
        <w:rPr>
          <w:lang w:val="en-GB" w:eastAsia="en-GB"/>
        </w:rPr>
        <w:t>Higher and quicker cash inflows reduce liquidity risk.</w:t>
      </w:r>
    </w:p>
    <w:p w14:paraId="4C4896BB" w14:textId="77777777" w:rsidR="004A560A" w:rsidRDefault="004A560A" w:rsidP="004A560A">
      <w:pPr>
        <w:pStyle w:val="NoSpacing"/>
        <w:rPr>
          <w:lang w:val="en-GB" w:eastAsia="en-GB"/>
        </w:rPr>
      </w:pPr>
      <w:r w:rsidRPr="004A560A">
        <w:rPr>
          <w:lang w:val="en-GB" w:eastAsia="en-GB"/>
        </w:rPr>
        <w:t xml:space="preserve">Project B’s cash inflows are </w:t>
      </w:r>
      <w:proofErr w:type="gramStart"/>
      <w:r w:rsidRPr="004A560A">
        <w:rPr>
          <w:lang w:val="en-GB" w:eastAsia="en-GB"/>
        </w:rPr>
        <w:t>lower</w:t>
      </w:r>
      <w:proofErr w:type="gramEnd"/>
      <w:r w:rsidRPr="004A560A">
        <w:rPr>
          <w:lang w:val="en-GB" w:eastAsia="en-GB"/>
        </w:rPr>
        <w:t xml:space="preserve"> and payback occurs later, increasing short-term liquidity risk.</w:t>
      </w:r>
    </w:p>
    <w:p w14:paraId="795DEBD8" w14:textId="77777777" w:rsidR="004A560A" w:rsidRPr="004A560A" w:rsidRDefault="004A560A" w:rsidP="004A560A">
      <w:pPr>
        <w:pStyle w:val="NoSpacing"/>
        <w:rPr>
          <w:lang w:val="en-GB" w:eastAsia="en-GB"/>
        </w:rPr>
      </w:pPr>
    </w:p>
    <w:p w14:paraId="00E03815" w14:textId="560EC70F" w:rsidR="003C6D2B" w:rsidRDefault="00000000" w:rsidP="00E113BE">
      <w:pPr>
        <w:pStyle w:val="ListNumber"/>
        <w:numPr>
          <w:ilvl w:val="0"/>
          <w:numId w:val="12"/>
        </w:numPr>
      </w:pPr>
      <w:r>
        <w:t>How might the public image / brand value of the Net-Zero Housing project affect long-term revenues?</w:t>
      </w:r>
    </w:p>
    <w:p w14:paraId="184D72AC" w14:textId="17E7393D" w:rsidR="004A560A" w:rsidRPr="004A560A" w:rsidRDefault="004A560A" w:rsidP="004A560A">
      <w:pPr>
        <w:pStyle w:val="NoSpacing"/>
        <w:rPr>
          <w:lang w:val="en-GB" w:eastAsia="en-GB"/>
        </w:rPr>
      </w:pPr>
      <w:r w:rsidRPr="004A560A">
        <w:rPr>
          <w:lang w:val="en-GB" w:eastAsia="en-GB"/>
        </w:rPr>
        <w:t xml:space="preserve">The Net-Zero Housing project could significantly enhance the firm’s </w:t>
      </w:r>
      <w:r w:rsidRPr="004A560A">
        <w:rPr>
          <w:b/>
          <w:bCs/>
          <w:lang w:val="en-GB" w:eastAsia="en-GB"/>
        </w:rPr>
        <w:t>brand reputation as an ESG leader</w:t>
      </w:r>
      <w:r w:rsidRPr="004A560A">
        <w:rPr>
          <w:lang w:val="en-GB" w:eastAsia="en-GB"/>
        </w:rPr>
        <w:t>, attracting customers and investors interested in sustainability.</w:t>
      </w:r>
    </w:p>
    <w:p w14:paraId="6E34FE68" w14:textId="700ACC81" w:rsidR="004A560A" w:rsidRPr="004A560A" w:rsidRDefault="004A560A" w:rsidP="004A560A">
      <w:pPr>
        <w:pStyle w:val="NoSpacing"/>
        <w:rPr>
          <w:lang w:val="en-GB" w:eastAsia="en-GB"/>
        </w:rPr>
      </w:pPr>
      <w:r w:rsidRPr="004A560A">
        <w:rPr>
          <w:lang w:val="en-GB" w:eastAsia="en-GB"/>
        </w:rPr>
        <w:t xml:space="preserve">This positive public image can translate into </w:t>
      </w:r>
      <w:r w:rsidRPr="004A560A">
        <w:rPr>
          <w:b/>
          <w:bCs/>
          <w:lang w:val="en-GB" w:eastAsia="en-GB"/>
        </w:rPr>
        <w:t>higher demand, premium pricing, and better stakeholder relationships</w:t>
      </w:r>
      <w:r w:rsidRPr="004A560A">
        <w:rPr>
          <w:lang w:val="en-GB" w:eastAsia="en-GB"/>
        </w:rPr>
        <w:t>, potentially increasing long-term revenues beyond the direct financial returns.</w:t>
      </w:r>
    </w:p>
    <w:p w14:paraId="0210D864" w14:textId="09802BA0" w:rsidR="004A560A" w:rsidRDefault="004A560A" w:rsidP="004A560A">
      <w:pPr>
        <w:pStyle w:val="NoSpacing"/>
        <w:rPr>
          <w:lang w:val="en-GB" w:eastAsia="en-GB"/>
        </w:rPr>
      </w:pPr>
      <w:r w:rsidRPr="004A560A">
        <w:rPr>
          <w:lang w:val="en-GB" w:eastAsia="en-GB"/>
        </w:rPr>
        <w:t>It may also open doors to subsidies, grants, or partnerships related to green building initiatives.</w:t>
      </w:r>
    </w:p>
    <w:p w14:paraId="12A1F53C" w14:textId="77777777" w:rsidR="004A560A" w:rsidRPr="004A560A" w:rsidRDefault="004A560A" w:rsidP="004A560A">
      <w:pPr>
        <w:pStyle w:val="NoSpacing"/>
        <w:rPr>
          <w:lang w:val="en-GB" w:eastAsia="en-GB"/>
        </w:rPr>
      </w:pPr>
    </w:p>
    <w:p w14:paraId="4D46F524" w14:textId="40597F77" w:rsidR="003C6D2B" w:rsidRDefault="00000000" w:rsidP="00E113BE">
      <w:pPr>
        <w:pStyle w:val="ListNumber"/>
        <w:numPr>
          <w:ilvl w:val="0"/>
          <w:numId w:val="12"/>
        </w:numPr>
      </w:pPr>
      <w:r>
        <w:t xml:space="preserve">Given that the firm is marketing itself as a global ESG leader, how should that factor </w:t>
      </w:r>
      <w:proofErr w:type="gramStart"/>
      <w:r>
        <w:t>into</w:t>
      </w:r>
      <w:proofErr w:type="gramEnd"/>
      <w:r>
        <w:t xml:space="preserve"> the decision?</w:t>
      </w:r>
    </w:p>
    <w:p w14:paraId="68C3CC46" w14:textId="42E413C5" w:rsidR="004A560A" w:rsidRPr="004A560A" w:rsidRDefault="004A560A" w:rsidP="004A560A">
      <w:pPr>
        <w:pStyle w:val="NoSpacing"/>
        <w:rPr>
          <w:lang w:val="en-GB" w:eastAsia="en-GB"/>
        </w:rPr>
      </w:pPr>
      <w:r w:rsidRPr="004A560A">
        <w:rPr>
          <w:lang w:val="en-GB" w:eastAsia="en-GB"/>
        </w:rPr>
        <w:t>The company should weigh strategic, non-financial benefits alongside financial returns.</w:t>
      </w:r>
    </w:p>
    <w:p w14:paraId="3A8096B6" w14:textId="1091BBFB" w:rsidR="004A560A" w:rsidRPr="004A560A" w:rsidRDefault="004A560A" w:rsidP="004A560A">
      <w:pPr>
        <w:pStyle w:val="NoSpacing"/>
        <w:rPr>
          <w:lang w:val="en-GB" w:eastAsia="en-GB"/>
        </w:rPr>
      </w:pPr>
      <w:r w:rsidRPr="004A560A">
        <w:rPr>
          <w:lang w:val="en-GB" w:eastAsia="en-GB"/>
        </w:rPr>
        <w:t>While Project A is financially superior, Project B supports the ESG brand and mission, positioning the firm as a pioneer in net-zero development.</w:t>
      </w:r>
    </w:p>
    <w:p w14:paraId="72229290" w14:textId="0C53D3BC" w:rsidR="004A560A" w:rsidRPr="004A560A" w:rsidRDefault="004A560A" w:rsidP="004A560A">
      <w:pPr>
        <w:pStyle w:val="NoSpacing"/>
        <w:rPr>
          <w:lang w:val="en-GB" w:eastAsia="en-GB"/>
        </w:rPr>
      </w:pPr>
      <w:r w:rsidRPr="004A560A">
        <w:rPr>
          <w:lang w:val="en-GB" w:eastAsia="en-GB"/>
        </w:rPr>
        <w:t>A balanced approach might involve prioritizing Project A for immediate returns while investing in Project B for long-term brand equity and market positioning aligned with the Net-Zero 2040 commitment.</w:t>
      </w:r>
    </w:p>
    <w:p w14:paraId="335DA556" w14:textId="2E02BC5C" w:rsidR="004A560A" w:rsidRPr="004A560A" w:rsidRDefault="004A560A" w:rsidP="004A560A">
      <w:pPr>
        <w:pStyle w:val="NoSpacing"/>
        <w:rPr>
          <w:lang w:val="en-GB" w:eastAsia="en-GB"/>
        </w:rPr>
      </w:pPr>
      <w:r w:rsidRPr="004A560A">
        <w:rPr>
          <w:lang w:val="en-GB" w:eastAsia="en-GB"/>
        </w:rPr>
        <w:t>Alternatively, the firm could seek ways to improve Project B’s financial performance (e.g., cost reductions, subsidies) to align both financial and ESG goals.</w:t>
      </w:r>
    </w:p>
    <w:p w14:paraId="03D936B3" w14:textId="77777777" w:rsidR="003C6D2B" w:rsidRDefault="00000000">
      <w:pPr>
        <w:pStyle w:val="Heading1"/>
      </w:pPr>
      <w:r>
        <w:t>Recommendation</w:t>
      </w:r>
    </w:p>
    <w:p w14:paraId="3F1420E8" w14:textId="3034B876" w:rsidR="003C6D2B" w:rsidRDefault="004A560A">
      <w:r w:rsidRPr="004A560A">
        <w:t xml:space="preserve">After thorough analysis, Project A, the Green Office Tower, clearly delivers stronger financial returns with a positive NPV of £168,560.74, a robust IRR of 14.02%, and a quicker payback period of 3.53 years, making it the safer choice under liquidity constraints. However, Project B, the Net-Zero Community Housing, aligns more closely with the firm’s Net-Zero 2040 sustainability goals by achieving full carbon neutrality, which is crucial for reinforcing the company’s position as a global ESG leader. While Project B’s current financial outlook is weaker, its potential to enhance brand reputation and attract environmentally conscious investors and clients could drive long-term revenue growth </w:t>
      </w:r>
      <w:r w:rsidRPr="004A560A">
        <w:lastRenderedPageBreak/>
        <w:t>beyond immediate cash flows. Therefore, the firm should balance immediate financial viability with strategic ESG commitments—potentially prioritizing Project A for short-term gains while supporting Project B’s development to secure sustainable competitive advantage and fulfill its environmental mission</w:t>
      </w:r>
      <w:r w:rsidR="009736B2" w:rsidRPr="009736B2">
        <w:t>.</w:t>
      </w:r>
    </w:p>
    <w:p w14:paraId="023F40BF" w14:textId="77777777" w:rsidR="003C6D2B" w:rsidRDefault="00000000">
      <w:pPr>
        <w:pStyle w:val="Heading1"/>
      </w:pPr>
      <w:r>
        <w:t>References</w:t>
      </w:r>
    </w:p>
    <w:p w14:paraId="4434B4A8" w14:textId="77777777" w:rsidR="00BB7A8D" w:rsidRDefault="00BB7A8D">
      <w:pPr>
        <w:rPr>
          <w:b/>
          <w:bCs/>
        </w:rPr>
      </w:pPr>
    </w:p>
    <w:p w14:paraId="28E18852" w14:textId="36573410" w:rsidR="00BB7A8D" w:rsidRDefault="00BB7A8D">
      <w:r w:rsidRPr="00BB7A8D">
        <w:t>Net Present Value (NPV), IRR, and Payback Period – Corporate Finance Institute (CFI)</w:t>
      </w:r>
      <w:r w:rsidRPr="00BB7A8D">
        <w:br/>
      </w:r>
      <w:hyperlink r:id="rId7" w:history="1">
        <w:r w:rsidRPr="00AA1BF3">
          <w:rPr>
            <w:rStyle w:val="Hyperlink"/>
          </w:rPr>
          <w:t>https://corporatefinanceinstitute.com/resources/valuation/net-present-value-npv/</w:t>
        </w:r>
      </w:hyperlink>
      <w:r>
        <w:t xml:space="preserve"> </w:t>
      </w:r>
      <w:r>
        <w:br/>
      </w:r>
    </w:p>
    <w:p w14:paraId="0352460E" w14:textId="36064067" w:rsidR="00BB7A8D" w:rsidRDefault="00000000">
      <w:r>
        <w:t xml:space="preserve">Investopedia. (n.d.). Capital Budgeting. </w:t>
      </w:r>
      <w:r w:rsidR="00BB7A8D">
        <w:t xml:space="preserve"> </w:t>
      </w:r>
      <w:hyperlink r:id="rId8" w:history="1">
        <w:r w:rsidR="00BB7A8D" w:rsidRPr="00AA1BF3">
          <w:rPr>
            <w:rStyle w:val="Hyperlink"/>
          </w:rPr>
          <w:t>https://www.investopedia.com/terms/c/capitalbudgeting.asp</w:t>
        </w:r>
      </w:hyperlink>
    </w:p>
    <w:p w14:paraId="4FA39868" w14:textId="5F467A16" w:rsidR="003C6D2B" w:rsidRDefault="00000000">
      <w:r>
        <w:br/>
      </w:r>
      <w:r w:rsidR="00BB7A8D" w:rsidRPr="00BB7A8D">
        <w:t>Internal Rate of Return (IRR) – CFI</w:t>
      </w:r>
      <w:r w:rsidR="00BB7A8D" w:rsidRPr="00BB7A8D">
        <w:br/>
      </w:r>
      <w:hyperlink r:id="rId9" w:history="1">
        <w:r w:rsidR="00BB7A8D" w:rsidRPr="00AA1BF3">
          <w:rPr>
            <w:rStyle w:val="Hyperlink"/>
          </w:rPr>
          <w:t>https://corporatefinanceinstitute.com/resources/valuation/internal-rate-of-return-irr/</w:t>
        </w:r>
      </w:hyperlink>
      <w:r w:rsidR="00BB7A8D">
        <w:t xml:space="preserve"> </w:t>
      </w:r>
    </w:p>
    <w:p w14:paraId="3D5462D5" w14:textId="77777777" w:rsidR="00BB7A8D" w:rsidRDefault="00BB7A8D"/>
    <w:sectPr w:rsidR="00BB7A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0A5469"/>
    <w:multiLevelType w:val="multilevel"/>
    <w:tmpl w:val="EC1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C7291"/>
    <w:multiLevelType w:val="multilevel"/>
    <w:tmpl w:val="D2F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D5D7F"/>
    <w:multiLevelType w:val="multilevel"/>
    <w:tmpl w:val="470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A65C7"/>
    <w:multiLevelType w:val="multilevel"/>
    <w:tmpl w:val="9AF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C330E"/>
    <w:multiLevelType w:val="hybridMultilevel"/>
    <w:tmpl w:val="14AAF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1E244A"/>
    <w:multiLevelType w:val="multilevel"/>
    <w:tmpl w:val="C57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D0455"/>
    <w:multiLevelType w:val="multilevel"/>
    <w:tmpl w:val="BAA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332C4"/>
    <w:multiLevelType w:val="multilevel"/>
    <w:tmpl w:val="771E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489120">
    <w:abstractNumId w:val="8"/>
  </w:num>
  <w:num w:numId="2" w16cid:durableId="629167912">
    <w:abstractNumId w:val="6"/>
  </w:num>
  <w:num w:numId="3" w16cid:durableId="818762279">
    <w:abstractNumId w:val="5"/>
  </w:num>
  <w:num w:numId="4" w16cid:durableId="1811635257">
    <w:abstractNumId w:val="4"/>
  </w:num>
  <w:num w:numId="5" w16cid:durableId="1082333603">
    <w:abstractNumId w:val="7"/>
  </w:num>
  <w:num w:numId="6" w16cid:durableId="2122526602">
    <w:abstractNumId w:val="3"/>
  </w:num>
  <w:num w:numId="7" w16cid:durableId="1196508238">
    <w:abstractNumId w:val="2"/>
  </w:num>
  <w:num w:numId="8" w16cid:durableId="1627422373">
    <w:abstractNumId w:val="1"/>
  </w:num>
  <w:num w:numId="9" w16cid:durableId="1349021598">
    <w:abstractNumId w:val="0"/>
  </w:num>
  <w:num w:numId="10" w16cid:durableId="920409966">
    <w:abstractNumId w:val="14"/>
  </w:num>
  <w:num w:numId="11" w16cid:durableId="1858234474">
    <w:abstractNumId w:val="15"/>
  </w:num>
  <w:num w:numId="12" w16cid:durableId="1487279932">
    <w:abstractNumId w:val="13"/>
  </w:num>
  <w:num w:numId="13" w16cid:durableId="1789664178">
    <w:abstractNumId w:val="11"/>
  </w:num>
  <w:num w:numId="14" w16cid:durableId="31619873">
    <w:abstractNumId w:val="10"/>
  </w:num>
  <w:num w:numId="15" w16cid:durableId="335622051">
    <w:abstractNumId w:val="12"/>
  </w:num>
  <w:num w:numId="16" w16cid:durableId="13389702">
    <w:abstractNumId w:val="16"/>
  </w:num>
  <w:num w:numId="17" w16cid:durableId="290286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6137"/>
    <w:rsid w:val="0015074B"/>
    <w:rsid w:val="0029639D"/>
    <w:rsid w:val="00326F90"/>
    <w:rsid w:val="003A5CE1"/>
    <w:rsid w:val="003C6D2B"/>
    <w:rsid w:val="004A560A"/>
    <w:rsid w:val="00803F02"/>
    <w:rsid w:val="009736B2"/>
    <w:rsid w:val="00A65934"/>
    <w:rsid w:val="00A910F1"/>
    <w:rsid w:val="00AA1D8D"/>
    <w:rsid w:val="00B47730"/>
    <w:rsid w:val="00BB7A8D"/>
    <w:rsid w:val="00C60AB9"/>
    <w:rsid w:val="00CB0664"/>
    <w:rsid w:val="00E113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2C18A"/>
  <w14:defaultImageDpi w14:val="300"/>
  <w15:docId w15:val="{0DFDDA77-3270-48C4-9ADC-333F73F1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B7A8D"/>
    <w:rPr>
      <w:color w:val="0000FF" w:themeColor="hyperlink"/>
      <w:u w:val="single"/>
    </w:rPr>
  </w:style>
  <w:style w:type="character" w:styleId="UnresolvedMention">
    <w:name w:val="Unresolved Mention"/>
    <w:basedOn w:val="DefaultParagraphFont"/>
    <w:uiPriority w:val="99"/>
    <w:semiHidden/>
    <w:unhideWhenUsed/>
    <w:rsid w:val="00BB7A8D"/>
    <w:rPr>
      <w:color w:val="605E5C"/>
      <w:shd w:val="clear" w:color="auto" w:fill="E1DFDD"/>
    </w:rPr>
  </w:style>
  <w:style w:type="paragraph" w:styleId="NormalWeb">
    <w:name w:val="Normal (Web)"/>
    <w:basedOn w:val="Normal"/>
    <w:uiPriority w:val="99"/>
    <w:semiHidden/>
    <w:unhideWhenUsed/>
    <w:rsid w:val="00A659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6154">
      <w:bodyDiv w:val="1"/>
      <w:marLeft w:val="0"/>
      <w:marRight w:val="0"/>
      <w:marTop w:val="0"/>
      <w:marBottom w:val="0"/>
      <w:divBdr>
        <w:top w:val="none" w:sz="0" w:space="0" w:color="auto"/>
        <w:left w:val="none" w:sz="0" w:space="0" w:color="auto"/>
        <w:bottom w:val="none" w:sz="0" w:space="0" w:color="auto"/>
        <w:right w:val="none" w:sz="0" w:space="0" w:color="auto"/>
      </w:divBdr>
    </w:div>
    <w:div w:id="174228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apitalbudgeting.asp" TargetMode="External"/><Relationship Id="rId3" Type="http://schemas.openxmlformats.org/officeDocument/2006/relationships/styles" Target="styles.xml"/><Relationship Id="rId7" Type="http://schemas.openxmlformats.org/officeDocument/2006/relationships/hyperlink" Target="https://corporatefinanceinstitute.com/resources/valuation/net-present-value-np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poratefinanceinstitute.com/resources/valuation/internal-rate-of-return-i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6</cp:revision>
  <dcterms:created xsi:type="dcterms:W3CDTF">2025-07-21T12:51:00Z</dcterms:created>
  <dcterms:modified xsi:type="dcterms:W3CDTF">2025-07-27T15:00:00Z</dcterms:modified>
  <cp:category/>
</cp:coreProperties>
</file>