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F81D9" w14:textId="77777777" w:rsidR="00D61879" w:rsidRDefault="00000000">
      <w:pPr>
        <w:pStyle w:val="Title"/>
      </w:pPr>
      <w:r>
        <w:t>Capital Budgeting &amp; Investment Appraisal – Task 14</w:t>
      </w:r>
    </w:p>
    <w:p w14:paraId="5B55092B" w14:textId="77777777" w:rsidR="00D61879" w:rsidRDefault="00000000">
      <w:pPr>
        <w:pStyle w:val="Heading1"/>
      </w:pPr>
      <w:r>
        <w:t>Introduction</w:t>
      </w:r>
    </w:p>
    <w:p w14:paraId="684D9E52" w14:textId="77777777" w:rsidR="00D61879" w:rsidRDefault="00000000">
      <w:r>
        <w:t>In this task, I will conduct a comprehensive capital budgeting analysis for two competing projects: Project A (Energy-Positive Modular School Buildings) and Project B (Recycled Steel Prefab Commercial Units). This includes calculating the Net Present Value (NPV), Internal Rate of Return (IRR), payback period, and preparing visual analyses through graphs. The objective is to determine which project is financially more viable for investment.</w:t>
      </w:r>
    </w:p>
    <w:p w14:paraId="04BF989E" w14:textId="77777777" w:rsidR="00D61879" w:rsidRDefault="00000000">
      <w:pPr>
        <w:pStyle w:val="Heading1"/>
      </w:pPr>
      <w:r>
        <w:t>1. Cash Flow &amp; Present Value (PV) Table</w:t>
      </w:r>
    </w:p>
    <w:tbl>
      <w:tblPr>
        <w:tblW w:w="0" w:type="auto"/>
        <w:tblLook w:val="04A0" w:firstRow="1" w:lastRow="0" w:firstColumn="1" w:lastColumn="0" w:noHBand="0" w:noVBand="1"/>
      </w:tblPr>
      <w:tblGrid>
        <w:gridCol w:w="953"/>
        <w:gridCol w:w="1397"/>
        <w:gridCol w:w="1397"/>
        <w:gridCol w:w="1397"/>
        <w:gridCol w:w="1397"/>
        <w:gridCol w:w="1146"/>
        <w:gridCol w:w="953"/>
      </w:tblGrid>
      <w:tr w:rsidR="00D61879" w14:paraId="672CB23E" w14:textId="77777777">
        <w:tc>
          <w:tcPr>
            <w:tcW w:w="1234" w:type="dxa"/>
          </w:tcPr>
          <w:p w14:paraId="454E9D4C" w14:textId="77777777" w:rsidR="00D61879" w:rsidRDefault="00000000">
            <w:r>
              <w:t>Year</w:t>
            </w:r>
          </w:p>
        </w:tc>
        <w:tc>
          <w:tcPr>
            <w:tcW w:w="1234" w:type="dxa"/>
          </w:tcPr>
          <w:p w14:paraId="73F5336A" w14:textId="77777777" w:rsidR="00D61879" w:rsidRDefault="00000000">
            <w:r>
              <w:t>Cash Flow A</w:t>
            </w:r>
          </w:p>
        </w:tc>
        <w:tc>
          <w:tcPr>
            <w:tcW w:w="1234" w:type="dxa"/>
          </w:tcPr>
          <w:p w14:paraId="20C25C4D" w14:textId="77777777" w:rsidR="00D61879" w:rsidRDefault="00000000">
            <w:r>
              <w:t>PV A</w:t>
            </w:r>
          </w:p>
        </w:tc>
        <w:tc>
          <w:tcPr>
            <w:tcW w:w="1234" w:type="dxa"/>
          </w:tcPr>
          <w:p w14:paraId="5B5BB3F0" w14:textId="77777777" w:rsidR="00D61879" w:rsidRDefault="00000000">
            <w:r>
              <w:t>Cash Flow B</w:t>
            </w:r>
          </w:p>
        </w:tc>
        <w:tc>
          <w:tcPr>
            <w:tcW w:w="1234" w:type="dxa"/>
          </w:tcPr>
          <w:p w14:paraId="6812E057" w14:textId="77777777" w:rsidR="00D61879" w:rsidRDefault="00000000">
            <w:r>
              <w:t>PV B</w:t>
            </w:r>
          </w:p>
        </w:tc>
        <w:tc>
          <w:tcPr>
            <w:tcW w:w="1234" w:type="dxa"/>
          </w:tcPr>
          <w:p w14:paraId="373567DC" w14:textId="77777777" w:rsidR="00D61879" w:rsidRDefault="00000000">
            <w:r>
              <w:t>Discount Factor</w:t>
            </w:r>
          </w:p>
        </w:tc>
        <w:tc>
          <w:tcPr>
            <w:tcW w:w="1234" w:type="dxa"/>
          </w:tcPr>
          <w:p w14:paraId="16DE3F3D" w14:textId="77777777" w:rsidR="00D61879" w:rsidRDefault="00000000">
            <w:r>
              <w:t>Year</w:t>
            </w:r>
          </w:p>
        </w:tc>
      </w:tr>
      <w:tr w:rsidR="00D61879" w14:paraId="05AC2395" w14:textId="77777777">
        <w:tc>
          <w:tcPr>
            <w:tcW w:w="1234" w:type="dxa"/>
          </w:tcPr>
          <w:p w14:paraId="38BEDF5F" w14:textId="77777777" w:rsidR="00D61879" w:rsidRDefault="00000000">
            <w:r>
              <w:t>1</w:t>
            </w:r>
          </w:p>
        </w:tc>
        <w:tc>
          <w:tcPr>
            <w:tcW w:w="1234" w:type="dxa"/>
          </w:tcPr>
          <w:p w14:paraId="0D8C1A1A" w14:textId="77777777" w:rsidR="00D61879" w:rsidRDefault="00000000">
            <w:r>
              <w:t>£220,000.00</w:t>
            </w:r>
          </w:p>
        </w:tc>
        <w:tc>
          <w:tcPr>
            <w:tcW w:w="1234" w:type="dxa"/>
          </w:tcPr>
          <w:p w14:paraId="52D22213" w14:textId="77777777" w:rsidR="00D61879" w:rsidRDefault="00000000">
            <w:r>
              <w:t>£200,000.00</w:t>
            </w:r>
          </w:p>
        </w:tc>
        <w:tc>
          <w:tcPr>
            <w:tcW w:w="1234" w:type="dxa"/>
          </w:tcPr>
          <w:p w14:paraId="62720971" w14:textId="77777777" w:rsidR="00D61879" w:rsidRDefault="00000000">
            <w:r>
              <w:t>£200,000.00</w:t>
            </w:r>
          </w:p>
        </w:tc>
        <w:tc>
          <w:tcPr>
            <w:tcW w:w="1234" w:type="dxa"/>
          </w:tcPr>
          <w:p w14:paraId="4BE12C63" w14:textId="77777777" w:rsidR="00D61879" w:rsidRDefault="00000000">
            <w:r>
              <w:t>£181,818.18</w:t>
            </w:r>
          </w:p>
        </w:tc>
        <w:tc>
          <w:tcPr>
            <w:tcW w:w="1234" w:type="dxa"/>
          </w:tcPr>
          <w:p w14:paraId="1870A0DE" w14:textId="77777777" w:rsidR="00D61879" w:rsidRDefault="00000000">
            <w:r>
              <w:t>0.9091</w:t>
            </w:r>
          </w:p>
        </w:tc>
        <w:tc>
          <w:tcPr>
            <w:tcW w:w="1234" w:type="dxa"/>
          </w:tcPr>
          <w:p w14:paraId="33D82264" w14:textId="77777777" w:rsidR="00D61879" w:rsidRDefault="00000000">
            <w:r>
              <w:t>1</w:t>
            </w:r>
          </w:p>
        </w:tc>
      </w:tr>
      <w:tr w:rsidR="00D61879" w14:paraId="3EF5896F" w14:textId="77777777">
        <w:tc>
          <w:tcPr>
            <w:tcW w:w="1234" w:type="dxa"/>
          </w:tcPr>
          <w:p w14:paraId="37DDC905" w14:textId="77777777" w:rsidR="00D61879" w:rsidRDefault="00000000">
            <w:r>
              <w:t>2</w:t>
            </w:r>
          </w:p>
        </w:tc>
        <w:tc>
          <w:tcPr>
            <w:tcW w:w="1234" w:type="dxa"/>
          </w:tcPr>
          <w:p w14:paraId="5275A001" w14:textId="77777777" w:rsidR="00D61879" w:rsidRDefault="00000000">
            <w:r>
              <w:t>£240,000.00</w:t>
            </w:r>
          </w:p>
        </w:tc>
        <w:tc>
          <w:tcPr>
            <w:tcW w:w="1234" w:type="dxa"/>
          </w:tcPr>
          <w:p w14:paraId="05882261" w14:textId="77777777" w:rsidR="00D61879" w:rsidRDefault="00000000">
            <w:r>
              <w:t>£198,347.11</w:t>
            </w:r>
          </w:p>
        </w:tc>
        <w:tc>
          <w:tcPr>
            <w:tcW w:w="1234" w:type="dxa"/>
          </w:tcPr>
          <w:p w14:paraId="529B98D0" w14:textId="77777777" w:rsidR="00D61879" w:rsidRDefault="00000000">
            <w:r>
              <w:t>£280,000.00</w:t>
            </w:r>
          </w:p>
        </w:tc>
        <w:tc>
          <w:tcPr>
            <w:tcW w:w="1234" w:type="dxa"/>
          </w:tcPr>
          <w:p w14:paraId="36423888" w14:textId="77777777" w:rsidR="00D61879" w:rsidRDefault="00000000">
            <w:r>
              <w:t>£231,404.96</w:t>
            </w:r>
          </w:p>
        </w:tc>
        <w:tc>
          <w:tcPr>
            <w:tcW w:w="1234" w:type="dxa"/>
          </w:tcPr>
          <w:p w14:paraId="257F927F" w14:textId="77777777" w:rsidR="00D61879" w:rsidRDefault="00000000">
            <w:r>
              <w:t>0.8264</w:t>
            </w:r>
          </w:p>
        </w:tc>
        <w:tc>
          <w:tcPr>
            <w:tcW w:w="1234" w:type="dxa"/>
          </w:tcPr>
          <w:p w14:paraId="2A23EADA" w14:textId="77777777" w:rsidR="00D61879" w:rsidRDefault="00000000">
            <w:r>
              <w:t>2</w:t>
            </w:r>
          </w:p>
        </w:tc>
      </w:tr>
      <w:tr w:rsidR="00D61879" w14:paraId="0D885C85" w14:textId="77777777">
        <w:tc>
          <w:tcPr>
            <w:tcW w:w="1234" w:type="dxa"/>
          </w:tcPr>
          <w:p w14:paraId="6CA631CD" w14:textId="77777777" w:rsidR="00D61879" w:rsidRDefault="00000000">
            <w:r>
              <w:t>3</w:t>
            </w:r>
          </w:p>
        </w:tc>
        <w:tc>
          <w:tcPr>
            <w:tcW w:w="1234" w:type="dxa"/>
          </w:tcPr>
          <w:p w14:paraId="3ED17471" w14:textId="77777777" w:rsidR="00D61879" w:rsidRDefault="00000000">
            <w:r>
              <w:t>£210,000.00</w:t>
            </w:r>
          </w:p>
        </w:tc>
        <w:tc>
          <w:tcPr>
            <w:tcW w:w="1234" w:type="dxa"/>
          </w:tcPr>
          <w:p w14:paraId="046CED58" w14:textId="77777777" w:rsidR="00D61879" w:rsidRDefault="00000000">
            <w:r>
              <w:t>£157,776.11</w:t>
            </w:r>
          </w:p>
        </w:tc>
        <w:tc>
          <w:tcPr>
            <w:tcW w:w="1234" w:type="dxa"/>
          </w:tcPr>
          <w:p w14:paraId="61D9F7B9" w14:textId="77777777" w:rsidR="00D61879" w:rsidRDefault="00000000">
            <w:r>
              <w:t>£250,000.00</w:t>
            </w:r>
          </w:p>
        </w:tc>
        <w:tc>
          <w:tcPr>
            <w:tcW w:w="1234" w:type="dxa"/>
          </w:tcPr>
          <w:p w14:paraId="02015B3D" w14:textId="77777777" w:rsidR="00D61879" w:rsidRDefault="00000000">
            <w:r>
              <w:t>£187,828.70</w:t>
            </w:r>
          </w:p>
        </w:tc>
        <w:tc>
          <w:tcPr>
            <w:tcW w:w="1234" w:type="dxa"/>
          </w:tcPr>
          <w:p w14:paraId="0915DD46" w14:textId="77777777" w:rsidR="00D61879" w:rsidRDefault="00000000">
            <w:r>
              <w:t>0.7513</w:t>
            </w:r>
          </w:p>
        </w:tc>
        <w:tc>
          <w:tcPr>
            <w:tcW w:w="1234" w:type="dxa"/>
          </w:tcPr>
          <w:p w14:paraId="26D67D0E" w14:textId="77777777" w:rsidR="00D61879" w:rsidRDefault="00000000">
            <w:r>
              <w:t>3</w:t>
            </w:r>
          </w:p>
        </w:tc>
      </w:tr>
      <w:tr w:rsidR="00D61879" w14:paraId="1BCED22B" w14:textId="77777777">
        <w:tc>
          <w:tcPr>
            <w:tcW w:w="1234" w:type="dxa"/>
          </w:tcPr>
          <w:p w14:paraId="435207C3" w14:textId="77777777" w:rsidR="00D61879" w:rsidRDefault="00000000">
            <w:r>
              <w:t>4</w:t>
            </w:r>
          </w:p>
        </w:tc>
        <w:tc>
          <w:tcPr>
            <w:tcW w:w="1234" w:type="dxa"/>
          </w:tcPr>
          <w:p w14:paraId="3D0090D4" w14:textId="77777777" w:rsidR="00D61879" w:rsidRDefault="00000000">
            <w:r>
              <w:t>£300,000.00</w:t>
            </w:r>
          </w:p>
        </w:tc>
        <w:tc>
          <w:tcPr>
            <w:tcW w:w="1234" w:type="dxa"/>
          </w:tcPr>
          <w:p w14:paraId="59C0F406" w14:textId="77777777" w:rsidR="00D61879" w:rsidRDefault="00000000">
            <w:r>
              <w:t>£204,904.04</w:t>
            </w:r>
          </w:p>
        </w:tc>
        <w:tc>
          <w:tcPr>
            <w:tcW w:w="1234" w:type="dxa"/>
          </w:tcPr>
          <w:p w14:paraId="5A5E704E" w14:textId="77777777" w:rsidR="00D61879" w:rsidRDefault="00000000">
            <w:r>
              <w:t>£220,000.00</w:t>
            </w:r>
          </w:p>
        </w:tc>
        <w:tc>
          <w:tcPr>
            <w:tcW w:w="1234" w:type="dxa"/>
          </w:tcPr>
          <w:p w14:paraId="74075047" w14:textId="77777777" w:rsidR="00D61879" w:rsidRDefault="00000000">
            <w:r>
              <w:t>£150,262.96</w:t>
            </w:r>
          </w:p>
        </w:tc>
        <w:tc>
          <w:tcPr>
            <w:tcW w:w="1234" w:type="dxa"/>
          </w:tcPr>
          <w:p w14:paraId="579F9BDE" w14:textId="77777777" w:rsidR="00D61879" w:rsidRDefault="00000000">
            <w:r>
              <w:t>0.6830</w:t>
            </w:r>
          </w:p>
        </w:tc>
        <w:tc>
          <w:tcPr>
            <w:tcW w:w="1234" w:type="dxa"/>
          </w:tcPr>
          <w:p w14:paraId="212B7907" w14:textId="77777777" w:rsidR="00D61879" w:rsidRDefault="00000000">
            <w:r>
              <w:t>4</w:t>
            </w:r>
          </w:p>
        </w:tc>
      </w:tr>
      <w:tr w:rsidR="00D61879" w14:paraId="694DDB4A" w14:textId="77777777">
        <w:tc>
          <w:tcPr>
            <w:tcW w:w="1234" w:type="dxa"/>
          </w:tcPr>
          <w:p w14:paraId="6861802E" w14:textId="77777777" w:rsidR="00D61879" w:rsidRDefault="00000000">
            <w:r>
              <w:t>5</w:t>
            </w:r>
          </w:p>
        </w:tc>
        <w:tc>
          <w:tcPr>
            <w:tcW w:w="1234" w:type="dxa"/>
          </w:tcPr>
          <w:p w14:paraId="7F7F4644" w14:textId="77777777" w:rsidR="00D61879" w:rsidRDefault="00000000">
            <w:r>
              <w:t>£330,000.00</w:t>
            </w:r>
          </w:p>
        </w:tc>
        <w:tc>
          <w:tcPr>
            <w:tcW w:w="1234" w:type="dxa"/>
          </w:tcPr>
          <w:p w14:paraId="50B78B93" w14:textId="77777777" w:rsidR="00D61879" w:rsidRDefault="00000000">
            <w:r>
              <w:t>£204,904.04</w:t>
            </w:r>
          </w:p>
        </w:tc>
        <w:tc>
          <w:tcPr>
            <w:tcW w:w="1234" w:type="dxa"/>
          </w:tcPr>
          <w:p w14:paraId="2C725D65" w14:textId="77777777" w:rsidR="00D61879" w:rsidRDefault="00000000">
            <w:r>
              <w:t>£270,000.00</w:t>
            </w:r>
          </w:p>
        </w:tc>
        <w:tc>
          <w:tcPr>
            <w:tcW w:w="1234" w:type="dxa"/>
          </w:tcPr>
          <w:p w14:paraId="3A75C11C" w14:textId="77777777" w:rsidR="00D61879" w:rsidRDefault="00000000">
            <w:r>
              <w:t>£167,648.76</w:t>
            </w:r>
          </w:p>
        </w:tc>
        <w:tc>
          <w:tcPr>
            <w:tcW w:w="1234" w:type="dxa"/>
          </w:tcPr>
          <w:p w14:paraId="527E2BB5" w14:textId="77777777" w:rsidR="00D61879" w:rsidRDefault="00000000">
            <w:r>
              <w:t>0.6209</w:t>
            </w:r>
          </w:p>
        </w:tc>
        <w:tc>
          <w:tcPr>
            <w:tcW w:w="1234" w:type="dxa"/>
          </w:tcPr>
          <w:p w14:paraId="4D5FA51B" w14:textId="77777777" w:rsidR="00D61879" w:rsidRDefault="00000000">
            <w:r>
              <w:t>5</w:t>
            </w:r>
          </w:p>
        </w:tc>
      </w:tr>
    </w:tbl>
    <w:p w14:paraId="08785F6E" w14:textId="77777777" w:rsidR="00885E15" w:rsidRDefault="00885E15"/>
    <w:p w14:paraId="6714EB91" w14:textId="77777777" w:rsidR="00885E15" w:rsidRPr="00885E15" w:rsidRDefault="00885E15" w:rsidP="00885E15">
      <w:pPr>
        <w:rPr>
          <w:b/>
          <w:bCs/>
          <w:lang w:val="en-GB"/>
        </w:rPr>
      </w:pPr>
      <w:r w:rsidRPr="00885E15">
        <w:rPr>
          <w:b/>
          <w:bCs/>
          <w:lang w:val="en-GB"/>
        </w:rPr>
        <w:t>Present Value (PV) Calculations</w:t>
      </w:r>
    </w:p>
    <w:p w14:paraId="289E0679" w14:textId="77777777" w:rsidR="00885E15" w:rsidRPr="00885E15" w:rsidRDefault="00885E15" w:rsidP="00885E15">
      <w:pPr>
        <w:rPr>
          <w:lang w:val="en-GB"/>
        </w:rPr>
      </w:pPr>
      <w:r w:rsidRPr="00885E15">
        <w:rPr>
          <w:b/>
          <w:bCs/>
          <w:lang w:val="en-GB"/>
        </w:rPr>
        <w:t>Year 1</w:t>
      </w:r>
    </w:p>
    <w:p w14:paraId="516B1FE8" w14:textId="77777777" w:rsidR="00885E15" w:rsidRPr="00885E15" w:rsidRDefault="00885E15" w:rsidP="00885E15">
      <w:pPr>
        <w:numPr>
          <w:ilvl w:val="0"/>
          <w:numId w:val="10"/>
        </w:numPr>
        <w:rPr>
          <w:lang w:val="en-GB"/>
        </w:rPr>
      </w:pPr>
      <w:r w:rsidRPr="00885E15">
        <w:rPr>
          <w:lang w:val="en-GB"/>
        </w:rPr>
        <w:t xml:space="preserve">Discount Factor = 1 / (1 + 0.10)^1 = </w:t>
      </w:r>
      <w:r w:rsidRPr="00885E15">
        <w:rPr>
          <w:b/>
          <w:bCs/>
          <w:lang w:val="en-GB"/>
        </w:rPr>
        <w:t>0.9091</w:t>
      </w:r>
    </w:p>
    <w:p w14:paraId="15B3D9DB" w14:textId="77777777" w:rsidR="00885E15" w:rsidRPr="00885E15" w:rsidRDefault="00885E15" w:rsidP="00885E15">
      <w:pPr>
        <w:numPr>
          <w:ilvl w:val="0"/>
          <w:numId w:val="10"/>
        </w:numPr>
        <w:rPr>
          <w:lang w:val="en-GB"/>
        </w:rPr>
      </w:pPr>
      <w:r w:rsidRPr="00885E15">
        <w:rPr>
          <w:lang w:val="en-GB"/>
        </w:rPr>
        <w:t xml:space="preserve">Project A PV = £220,000 × 0.9091 = </w:t>
      </w:r>
      <w:r w:rsidRPr="00885E15">
        <w:rPr>
          <w:b/>
          <w:bCs/>
          <w:lang w:val="en-GB"/>
        </w:rPr>
        <w:t>£200,000.00</w:t>
      </w:r>
    </w:p>
    <w:p w14:paraId="2FB9607B" w14:textId="77777777" w:rsidR="00885E15" w:rsidRPr="00885E15" w:rsidRDefault="00885E15" w:rsidP="00885E15">
      <w:pPr>
        <w:numPr>
          <w:ilvl w:val="0"/>
          <w:numId w:val="10"/>
        </w:numPr>
        <w:rPr>
          <w:lang w:val="en-GB"/>
        </w:rPr>
      </w:pPr>
      <w:r w:rsidRPr="00885E15">
        <w:rPr>
          <w:lang w:val="en-GB"/>
        </w:rPr>
        <w:t xml:space="preserve">Project B PV = £200,000 × 0.9091 = </w:t>
      </w:r>
      <w:r w:rsidRPr="00885E15">
        <w:rPr>
          <w:b/>
          <w:bCs/>
          <w:lang w:val="en-GB"/>
        </w:rPr>
        <w:t>£181,818.18</w:t>
      </w:r>
    </w:p>
    <w:p w14:paraId="75B711D1" w14:textId="77777777" w:rsidR="00885E15" w:rsidRPr="00885E15" w:rsidRDefault="00885E15" w:rsidP="00885E15">
      <w:pPr>
        <w:rPr>
          <w:lang w:val="en-GB"/>
        </w:rPr>
      </w:pPr>
      <w:r w:rsidRPr="00885E15">
        <w:rPr>
          <w:b/>
          <w:bCs/>
          <w:lang w:val="en-GB"/>
        </w:rPr>
        <w:t>Year 2</w:t>
      </w:r>
    </w:p>
    <w:p w14:paraId="0B33758A" w14:textId="77777777" w:rsidR="00885E15" w:rsidRPr="00885E15" w:rsidRDefault="00885E15" w:rsidP="00885E15">
      <w:pPr>
        <w:numPr>
          <w:ilvl w:val="0"/>
          <w:numId w:val="11"/>
        </w:numPr>
        <w:rPr>
          <w:lang w:val="en-GB"/>
        </w:rPr>
      </w:pPr>
      <w:r w:rsidRPr="00885E15">
        <w:rPr>
          <w:lang w:val="en-GB"/>
        </w:rPr>
        <w:t xml:space="preserve">Discount Factor = 1 / (1 + 0.10)^2 = </w:t>
      </w:r>
      <w:r w:rsidRPr="00885E15">
        <w:rPr>
          <w:b/>
          <w:bCs/>
          <w:lang w:val="en-GB"/>
        </w:rPr>
        <w:t>0.8264</w:t>
      </w:r>
    </w:p>
    <w:p w14:paraId="5030F74A" w14:textId="77777777" w:rsidR="00885E15" w:rsidRPr="00885E15" w:rsidRDefault="00885E15" w:rsidP="00885E15">
      <w:pPr>
        <w:numPr>
          <w:ilvl w:val="0"/>
          <w:numId w:val="11"/>
        </w:numPr>
        <w:rPr>
          <w:lang w:val="en-GB"/>
        </w:rPr>
      </w:pPr>
      <w:r w:rsidRPr="00885E15">
        <w:rPr>
          <w:lang w:val="en-GB"/>
        </w:rPr>
        <w:t xml:space="preserve">Project A PV = £240,000 × 0.8264 = </w:t>
      </w:r>
      <w:r w:rsidRPr="00885E15">
        <w:rPr>
          <w:b/>
          <w:bCs/>
          <w:lang w:val="en-GB"/>
        </w:rPr>
        <w:t>£198,347.11</w:t>
      </w:r>
    </w:p>
    <w:p w14:paraId="018BA8A7" w14:textId="77777777" w:rsidR="00885E15" w:rsidRPr="00885E15" w:rsidRDefault="00885E15" w:rsidP="00885E15">
      <w:pPr>
        <w:numPr>
          <w:ilvl w:val="0"/>
          <w:numId w:val="11"/>
        </w:numPr>
        <w:rPr>
          <w:lang w:val="en-GB"/>
        </w:rPr>
      </w:pPr>
      <w:r w:rsidRPr="00885E15">
        <w:rPr>
          <w:lang w:val="en-GB"/>
        </w:rPr>
        <w:t xml:space="preserve">Project B PV = £280,000 × 0.8264 = </w:t>
      </w:r>
      <w:r w:rsidRPr="00885E15">
        <w:rPr>
          <w:b/>
          <w:bCs/>
          <w:lang w:val="en-GB"/>
        </w:rPr>
        <w:t>£231,404.96</w:t>
      </w:r>
    </w:p>
    <w:p w14:paraId="65D1CF2E" w14:textId="77777777" w:rsidR="00885E15" w:rsidRPr="00885E15" w:rsidRDefault="00885E15" w:rsidP="00885E15">
      <w:pPr>
        <w:rPr>
          <w:lang w:val="en-GB"/>
        </w:rPr>
      </w:pPr>
      <w:r w:rsidRPr="00885E15">
        <w:rPr>
          <w:b/>
          <w:bCs/>
          <w:lang w:val="en-GB"/>
        </w:rPr>
        <w:lastRenderedPageBreak/>
        <w:t>Year 3</w:t>
      </w:r>
    </w:p>
    <w:p w14:paraId="3D06009D" w14:textId="77777777" w:rsidR="00885E15" w:rsidRPr="00885E15" w:rsidRDefault="00885E15" w:rsidP="00885E15">
      <w:pPr>
        <w:numPr>
          <w:ilvl w:val="0"/>
          <w:numId w:val="12"/>
        </w:numPr>
        <w:rPr>
          <w:lang w:val="en-GB"/>
        </w:rPr>
      </w:pPr>
      <w:r w:rsidRPr="00885E15">
        <w:rPr>
          <w:lang w:val="en-GB"/>
        </w:rPr>
        <w:t xml:space="preserve">Discount Factor = 1 / (1 + 0.10)^3 = </w:t>
      </w:r>
      <w:r w:rsidRPr="00885E15">
        <w:rPr>
          <w:b/>
          <w:bCs/>
          <w:lang w:val="en-GB"/>
        </w:rPr>
        <w:t>0.7513</w:t>
      </w:r>
    </w:p>
    <w:p w14:paraId="2A52515E" w14:textId="77777777" w:rsidR="00885E15" w:rsidRPr="00885E15" w:rsidRDefault="00885E15" w:rsidP="00885E15">
      <w:pPr>
        <w:numPr>
          <w:ilvl w:val="0"/>
          <w:numId w:val="12"/>
        </w:numPr>
        <w:rPr>
          <w:lang w:val="en-GB"/>
        </w:rPr>
      </w:pPr>
      <w:r w:rsidRPr="00885E15">
        <w:rPr>
          <w:lang w:val="en-GB"/>
        </w:rPr>
        <w:t xml:space="preserve">Project A PV = £210,000 × 0.7513 = </w:t>
      </w:r>
      <w:r w:rsidRPr="00885E15">
        <w:rPr>
          <w:b/>
          <w:bCs/>
          <w:lang w:val="en-GB"/>
        </w:rPr>
        <w:t>£157,776.11</w:t>
      </w:r>
    </w:p>
    <w:p w14:paraId="33083DD2" w14:textId="77777777" w:rsidR="00885E15" w:rsidRPr="00885E15" w:rsidRDefault="00885E15" w:rsidP="00885E15">
      <w:pPr>
        <w:numPr>
          <w:ilvl w:val="0"/>
          <w:numId w:val="12"/>
        </w:numPr>
        <w:rPr>
          <w:lang w:val="en-GB"/>
        </w:rPr>
      </w:pPr>
      <w:r w:rsidRPr="00885E15">
        <w:rPr>
          <w:lang w:val="en-GB"/>
        </w:rPr>
        <w:t xml:space="preserve">Project B PV = £250,000 × 0.7513 = </w:t>
      </w:r>
      <w:r w:rsidRPr="00885E15">
        <w:rPr>
          <w:b/>
          <w:bCs/>
          <w:lang w:val="en-GB"/>
        </w:rPr>
        <w:t>£187,828.70</w:t>
      </w:r>
    </w:p>
    <w:p w14:paraId="5E385D61" w14:textId="77777777" w:rsidR="00885E15" w:rsidRPr="00885E15" w:rsidRDefault="00885E15" w:rsidP="00885E15">
      <w:pPr>
        <w:rPr>
          <w:lang w:val="en-GB"/>
        </w:rPr>
      </w:pPr>
      <w:r w:rsidRPr="00885E15">
        <w:rPr>
          <w:b/>
          <w:bCs/>
          <w:lang w:val="en-GB"/>
        </w:rPr>
        <w:t>Year 4</w:t>
      </w:r>
    </w:p>
    <w:p w14:paraId="33634601" w14:textId="77777777" w:rsidR="00885E15" w:rsidRPr="00885E15" w:rsidRDefault="00885E15" w:rsidP="00885E15">
      <w:pPr>
        <w:numPr>
          <w:ilvl w:val="0"/>
          <w:numId w:val="13"/>
        </w:numPr>
        <w:rPr>
          <w:lang w:val="en-GB"/>
        </w:rPr>
      </w:pPr>
      <w:r w:rsidRPr="00885E15">
        <w:rPr>
          <w:lang w:val="en-GB"/>
        </w:rPr>
        <w:t xml:space="preserve">Discount Factor = 1 / (1 + 0.10)^4 = </w:t>
      </w:r>
      <w:r w:rsidRPr="00885E15">
        <w:rPr>
          <w:b/>
          <w:bCs/>
          <w:lang w:val="en-GB"/>
        </w:rPr>
        <w:t>0.6830</w:t>
      </w:r>
    </w:p>
    <w:p w14:paraId="02816032" w14:textId="77777777" w:rsidR="00885E15" w:rsidRPr="00885E15" w:rsidRDefault="00885E15" w:rsidP="00885E15">
      <w:pPr>
        <w:numPr>
          <w:ilvl w:val="0"/>
          <w:numId w:val="13"/>
        </w:numPr>
        <w:rPr>
          <w:lang w:val="en-GB"/>
        </w:rPr>
      </w:pPr>
      <w:r w:rsidRPr="00885E15">
        <w:rPr>
          <w:lang w:val="en-GB"/>
        </w:rPr>
        <w:t xml:space="preserve">Project A PV = £300,000 × 0.6830 = </w:t>
      </w:r>
      <w:r w:rsidRPr="00885E15">
        <w:rPr>
          <w:b/>
          <w:bCs/>
          <w:lang w:val="en-GB"/>
        </w:rPr>
        <w:t>£204,904.04</w:t>
      </w:r>
    </w:p>
    <w:p w14:paraId="38540ABF" w14:textId="77777777" w:rsidR="00885E15" w:rsidRPr="00885E15" w:rsidRDefault="00885E15" w:rsidP="00885E15">
      <w:pPr>
        <w:numPr>
          <w:ilvl w:val="0"/>
          <w:numId w:val="13"/>
        </w:numPr>
        <w:rPr>
          <w:lang w:val="en-GB"/>
        </w:rPr>
      </w:pPr>
      <w:r w:rsidRPr="00885E15">
        <w:rPr>
          <w:lang w:val="en-GB"/>
        </w:rPr>
        <w:t xml:space="preserve">Project B PV = £220,000 × 0.6830 = </w:t>
      </w:r>
      <w:r w:rsidRPr="00885E15">
        <w:rPr>
          <w:b/>
          <w:bCs/>
          <w:lang w:val="en-GB"/>
        </w:rPr>
        <w:t>£150,262.96</w:t>
      </w:r>
    </w:p>
    <w:p w14:paraId="0B2D1E27" w14:textId="77777777" w:rsidR="00885E15" w:rsidRPr="00885E15" w:rsidRDefault="00885E15" w:rsidP="00885E15">
      <w:pPr>
        <w:rPr>
          <w:lang w:val="en-GB"/>
        </w:rPr>
      </w:pPr>
      <w:r w:rsidRPr="00885E15">
        <w:rPr>
          <w:b/>
          <w:bCs/>
          <w:lang w:val="en-GB"/>
        </w:rPr>
        <w:t>Year 5</w:t>
      </w:r>
    </w:p>
    <w:p w14:paraId="5CEA83B3" w14:textId="77777777" w:rsidR="00885E15" w:rsidRPr="00885E15" w:rsidRDefault="00885E15" w:rsidP="00885E15">
      <w:pPr>
        <w:numPr>
          <w:ilvl w:val="0"/>
          <w:numId w:val="14"/>
        </w:numPr>
        <w:rPr>
          <w:lang w:val="en-GB"/>
        </w:rPr>
      </w:pPr>
      <w:r w:rsidRPr="00885E15">
        <w:rPr>
          <w:lang w:val="en-GB"/>
        </w:rPr>
        <w:t xml:space="preserve">Discount Factor = 1 / (1 + 0.10)^5 = </w:t>
      </w:r>
      <w:r w:rsidRPr="00885E15">
        <w:rPr>
          <w:b/>
          <w:bCs/>
          <w:lang w:val="en-GB"/>
        </w:rPr>
        <w:t>0.6209</w:t>
      </w:r>
    </w:p>
    <w:p w14:paraId="2BCB5973" w14:textId="77777777" w:rsidR="00885E15" w:rsidRPr="00885E15" w:rsidRDefault="00885E15" w:rsidP="00885E15">
      <w:pPr>
        <w:numPr>
          <w:ilvl w:val="0"/>
          <w:numId w:val="14"/>
        </w:numPr>
        <w:rPr>
          <w:lang w:val="en-GB"/>
        </w:rPr>
      </w:pPr>
      <w:r w:rsidRPr="00885E15">
        <w:rPr>
          <w:lang w:val="en-GB"/>
        </w:rPr>
        <w:t xml:space="preserve">Project A PV = £330,000 × 0.6209 = </w:t>
      </w:r>
      <w:r w:rsidRPr="00885E15">
        <w:rPr>
          <w:b/>
          <w:bCs/>
          <w:lang w:val="en-GB"/>
        </w:rPr>
        <w:t>£204,904.04</w:t>
      </w:r>
    </w:p>
    <w:p w14:paraId="2CC7E1D9" w14:textId="5C3AC1C3" w:rsidR="00885E15" w:rsidRPr="00885E15" w:rsidRDefault="00885E15" w:rsidP="00885E15">
      <w:pPr>
        <w:numPr>
          <w:ilvl w:val="0"/>
          <w:numId w:val="14"/>
        </w:numPr>
        <w:rPr>
          <w:lang w:val="en-GB"/>
        </w:rPr>
      </w:pPr>
      <w:r w:rsidRPr="00885E15">
        <w:rPr>
          <w:lang w:val="en-GB"/>
        </w:rPr>
        <w:t xml:space="preserve">Project B PV = £270,000 × 0.6209 = </w:t>
      </w:r>
      <w:r w:rsidRPr="00885E15">
        <w:rPr>
          <w:b/>
          <w:bCs/>
          <w:lang w:val="en-GB"/>
        </w:rPr>
        <w:t>£167,648.76</w:t>
      </w:r>
    </w:p>
    <w:p w14:paraId="4CA5C98E" w14:textId="77777777" w:rsidR="00885E15" w:rsidRDefault="00885E15"/>
    <w:p w14:paraId="6AE2A7F5" w14:textId="0B3007BE" w:rsidR="00D61879" w:rsidRDefault="00000000">
      <w:r>
        <w:t>Total PV for Project A: £965,931.29</w:t>
      </w:r>
    </w:p>
    <w:p w14:paraId="1452486F" w14:textId="77777777" w:rsidR="00D61879" w:rsidRDefault="00000000">
      <w:r>
        <w:t>Total PV for Project B: £918,963.56</w:t>
      </w:r>
    </w:p>
    <w:p w14:paraId="33B1897D" w14:textId="77777777" w:rsidR="00D61879" w:rsidRDefault="00000000">
      <w:pPr>
        <w:pStyle w:val="Heading1"/>
      </w:pPr>
      <w:r>
        <w:t>2. NPV &amp; IRR Calculation</w:t>
      </w:r>
    </w:p>
    <w:p w14:paraId="2483D049" w14:textId="707EFC3E" w:rsidR="00885E15" w:rsidRDefault="00885E15" w:rsidP="00885E15">
      <w:pPr>
        <w:rPr>
          <w:b/>
          <w:bCs/>
          <w:lang w:val="en-GB"/>
        </w:rPr>
      </w:pPr>
      <w:r>
        <w:rPr>
          <w:b/>
          <w:bCs/>
          <w:lang w:val="en-GB"/>
        </w:rPr>
        <w:t>NPV:</w:t>
      </w:r>
    </w:p>
    <w:p w14:paraId="3E180BD6" w14:textId="279544F9" w:rsidR="00885E15" w:rsidRPr="00885E15" w:rsidRDefault="00885E15" w:rsidP="00885E15">
      <w:pPr>
        <w:rPr>
          <w:lang w:val="en-GB"/>
        </w:rPr>
      </w:pPr>
      <w:r w:rsidRPr="00885E15">
        <w:rPr>
          <w:b/>
          <w:bCs/>
          <w:lang w:val="en-GB"/>
        </w:rPr>
        <w:t>Project A</w:t>
      </w:r>
      <w:r w:rsidRPr="00885E15">
        <w:rPr>
          <w:lang w:val="en-GB"/>
        </w:rPr>
        <w:t>:</w:t>
      </w:r>
      <w:r w:rsidRPr="00885E15">
        <w:rPr>
          <w:lang w:val="en-GB"/>
        </w:rPr>
        <w:br/>
        <w:t>NPV = Total PV − Initial Investment</w:t>
      </w:r>
      <w:r w:rsidRPr="00885E15">
        <w:rPr>
          <w:lang w:val="en-GB"/>
        </w:rPr>
        <w:br/>
        <w:t xml:space="preserve">= £965,931.29 − £900,000 = </w:t>
      </w:r>
      <w:r w:rsidRPr="00885E15">
        <w:rPr>
          <w:b/>
          <w:bCs/>
          <w:lang w:val="en-GB"/>
        </w:rPr>
        <w:t>£65,931.29</w:t>
      </w:r>
    </w:p>
    <w:p w14:paraId="3B8AD647" w14:textId="12106711" w:rsidR="00885E15" w:rsidRDefault="00885E15" w:rsidP="00885E15">
      <w:pPr>
        <w:rPr>
          <w:b/>
          <w:bCs/>
          <w:lang w:val="en-GB"/>
        </w:rPr>
      </w:pPr>
      <w:r w:rsidRPr="00885E15">
        <w:rPr>
          <w:b/>
          <w:bCs/>
          <w:lang w:val="en-GB"/>
        </w:rPr>
        <w:t>Project B</w:t>
      </w:r>
      <w:r w:rsidRPr="00885E15">
        <w:rPr>
          <w:lang w:val="en-GB"/>
        </w:rPr>
        <w:t>:</w:t>
      </w:r>
      <w:r w:rsidRPr="00885E15">
        <w:rPr>
          <w:lang w:val="en-GB"/>
        </w:rPr>
        <w:br/>
        <w:t>NPV = Total PV − Initial Investment</w:t>
      </w:r>
      <w:r w:rsidRPr="00885E15">
        <w:rPr>
          <w:lang w:val="en-GB"/>
        </w:rPr>
        <w:br/>
        <w:t xml:space="preserve">= £918,963.56 − £850,000 = </w:t>
      </w:r>
      <w:r w:rsidRPr="00885E15">
        <w:rPr>
          <w:b/>
          <w:bCs/>
          <w:lang w:val="en-GB"/>
        </w:rPr>
        <w:t>£68,963.56</w:t>
      </w:r>
    </w:p>
    <w:p w14:paraId="595951C3" w14:textId="77777777" w:rsidR="00885E15" w:rsidRPr="00885E15" w:rsidRDefault="00885E15" w:rsidP="00885E15">
      <w:pPr>
        <w:rPr>
          <w:lang w:val="en-GB"/>
        </w:rPr>
      </w:pPr>
      <w:r w:rsidRPr="00885E15">
        <w:rPr>
          <w:lang w:val="en-GB"/>
        </w:rPr>
        <w:t>The Internal Rate of Return (IRR) is the discount rate at which the Net Present Value (NPV) of a project becomes zero. It represents the project’s break-even cost of capital.</w:t>
      </w:r>
    </w:p>
    <w:p w14:paraId="3B2578BA" w14:textId="77777777" w:rsidR="00885E15" w:rsidRDefault="00885E15" w:rsidP="00885E15">
      <w:pPr>
        <w:rPr>
          <w:b/>
          <w:bCs/>
          <w:lang w:val="en-GB"/>
        </w:rPr>
      </w:pPr>
      <w:r>
        <w:rPr>
          <w:b/>
          <w:bCs/>
          <w:lang w:val="en-GB"/>
        </w:rPr>
        <w:t>IRR:</w:t>
      </w:r>
    </w:p>
    <w:p w14:paraId="52A28DC4" w14:textId="62E66109" w:rsidR="00885E15" w:rsidRPr="00885E15" w:rsidRDefault="00885E15" w:rsidP="00885E15">
      <w:pPr>
        <w:rPr>
          <w:b/>
          <w:bCs/>
          <w:lang w:val="en-GB"/>
        </w:rPr>
      </w:pPr>
      <w:r w:rsidRPr="00885E15">
        <w:rPr>
          <w:b/>
          <w:bCs/>
          <w:lang w:val="en-GB"/>
        </w:rPr>
        <w:t>Project A – Energy-Positive Modular School Buildings</w:t>
      </w:r>
    </w:p>
    <w:p w14:paraId="41256F92" w14:textId="77777777" w:rsidR="00885E15" w:rsidRPr="00885E15" w:rsidRDefault="00885E15" w:rsidP="00885E15">
      <w:pPr>
        <w:numPr>
          <w:ilvl w:val="0"/>
          <w:numId w:val="15"/>
        </w:numPr>
        <w:rPr>
          <w:lang w:val="en-GB"/>
        </w:rPr>
      </w:pPr>
      <w:r w:rsidRPr="00885E15">
        <w:rPr>
          <w:b/>
          <w:bCs/>
          <w:lang w:val="en-GB"/>
        </w:rPr>
        <w:t>Initial Investment:</w:t>
      </w:r>
      <w:r w:rsidRPr="00885E15">
        <w:rPr>
          <w:lang w:val="en-GB"/>
        </w:rPr>
        <w:t xml:space="preserve"> £900,000</w:t>
      </w:r>
    </w:p>
    <w:p w14:paraId="543605EF" w14:textId="77777777" w:rsidR="00885E15" w:rsidRPr="00885E15" w:rsidRDefault="00885E15" w:rsidP="00885E15">
      <w:pPr>
        <w:numPr>
          <w:ilvl w:val="0"/>
          <w:numId w:val="15"/>
        </w:numPr>
        <w:rPr>
          <w:lang w:val="en-GB"/>
        </w:rPr>
      </w:pPr>
      <w:r w:rsidRPr="00885E15">
        <w:rPr>
          <w:b/>
          <w:bCs/>
          <w:lang w:val="en-GB"/>
        </w:rPr>
        <w:lastRenderedPageBreak/>
        <w:t>Future Cash Flows:</w:t>
      </w:r>
      <w:r w:rsidRPr="00885E15">
        <w:rPr>
          <w:lang w:val="en-GB"/>
        </w:rPr>
        <w:t xml:space="preserve"> £220,000, £240,000, £210,000, £300,000, £330,000</w:t>
      </w:r>
    </w:p>
    <w:p w14:paraId="378E901F" w14:textId="77777777" w:rsidR="00885E15" w:rsidRPr="00885E15" w:rsidRDefault="00885E15" w:rsidP="00885E15">
      <w:pPr>
        <w:numPr>
          <w:ilvl w:val="0"/>
          <w:numId w:val="15"/>
        </w:numPr>
        <w:rPr>
          <w:lang w:val="en-GB"/>
        </w:rPr>
      </w:pPr>
      <w:r w:rsidRPr="00885E15">
        <w:rPr>
          <w:b/>
          <w:bCs/>
          <w:lang w:val="en-GB"/>
        </w:rPr>
        <w:t>Calculated IRR:</w:t>
      </w:r>
      <w:r w:rsidRPr="00885E15">
        <w:rPr>
          <w:lang w:val="en-GB"/>
        </w:rPr>
        <w:t xml:space="preserve"> </w:t>
      </w:r>
      <w:r w:rsidRPr="00885E15">
        <w:rPr>
          <w:b/>
          <w:bCs/>
          <w:lang w:val="en-GB"/>
        </w:rPr>
        <w:t>13.3%</w:t>
      </w:r>
    </w:p>
    <w:p w14:paraId="733BB71F" w14:textId="77777777" w:rsidR="00885E15" w:rsidRPr="00885E15" w:rsidRDefault="00885E15" w:rsidP="00885E15">
      <w:pPr>
        <w:rPr>
          <w:b/>
          <w:bCs/>
          <w:lang w:val="en-GB"/>
        </w:rPr>
      </w:pPr>
      <w:r w:rsidRPr="00885E15">
        <w:rPr>
          <w:b/>
          <w:bCs/>
          <w:lang w:val="en-GB"/>
        </w:rPr>
        <w:t>Project B – Recycled Steel Prefab Commercial Units</w:t>
      </w:r>
    </w:p>
    <w:p w14:paraId="54ED1380" w14:textId="77777777" w:rsidR="00885E15" w:rsidRPr="00885E15" w:rsidRDefault="00885E15" w:rsidP="00885E15">
      <w:pPr>
        <w:numPr>
          <w:ilvl w:val="0"/>
          <w:numId w:val="16"/>
        </w:numPr>
        <w:rPr>
          <w:lang w:val="en-GB"/>
        </w:rPr>
      </w:pPr>
      <w:r w:rsidRPr="00885E15">
        <w:rPr>
          <w:b/>
          <w:bCs/>
          <w:lang w:val="en-GB"/>
        </w:rPr>
        <w:t>Initial Investment:</w:t>
      </w:r>
      <w:r w:rsidRPr="00885E15">
        <w:rPr>
          <w:lang w:val="en-GB"/>
        </w:rPr>
        <w:t xml:space="preserve"> £850,000</w:t>
      </w:r>
    </w:p>
    <w:p w14:paraId="2611FD6D" w14:textId="77777777" w:rsidR="00885E15" w:rsidRPr="00885E15" w:rsidRDefault="00885E15" w:rsidP="00885E15">
      <w:pPr>
        <w:numPr>
          <w:ilvl w:val="0"/>
          <w:numId w:val="16"/>
        </w:numPr>
        <w:rPr>
          <w:lang w:val="en-GB"/>
        </w:rPr>
      </w:pPr>
      <w:r w:rsidRPr="00885E15">
        <w:rPr>
          <w:b/>
          <w:bCs/>
          <w:lang w:val="en-GB"/>
        </w:rPr>
        <w:t>Future Cash Flows:</w:t>
      </w:r>
      <w:r w:rsidRPr="00885E15">
        <w:rPr>
          <w:lang w:val="en-GB"/>
        </w:rPr>
        <w:t xml:space="preserve"> £200,000, £280,000, £250,000, £220,000, £270,000</w:t>
      </w:r>
    </w:p>
    <w:p w14:paraId="1B3415F7" w14:textId="77777777" w:rsidR="00885E15" w:rsidRPr="00885E15" w:rsidRDefault="00885E15" w:rsidP="00885E15">
      <w:pPr>
        <w:numPr>
          <w:ilvl w:val="0"/>
          <w:numId w:val="16"/>
        </w:numPr>
        <w:rPr>
          <w:lang w:val="en-GB"/>
        </w:rPr>
      </w:pPr>
      <w:r w:rsidRPr="00885E15">
        <w:rPr>
          <w:b/>
          <w:bCs/>
          <w:lang w:val="en-GB"/>
        </w:rPr>
        <w:t>Calculated IRR:</w:t>
      </w:r>
      <w:r w:rsidRPr="00885E15">
        <w:rPr>
          <w:lang w:val="en-GB"/>
        </w:rPr>
        <w:t xml:space="preserve"> </w:t>
      </w:r>
      <w:r w:rsidRPr="00885E15">
        <w:rPr>
          <w:b/>
          <w:bCs/>
          <w:lang w:val="en-GB"/>
        </w:rPr>
        <w:t>14.6%</w:t>
      </w:r>
    </w:p>
    <w:p w14:paraId="78E7769F" w14:textId="529FD1EE" w:rsidR="00885E15" w:rsidRPr="00885E15" w:rsidRDefault="00885E15" w:rsidP="00885E15">
      <w:pPr>
        <w:rPr>
          <w:lang w:val="en-GB"/>
        </w:rPr>
      </w:pPr>
      <w:r w:rsidRPr="00885E15">
        <w:rPr>
          <w:b/>
          <w:bCs/>
          <w:lang w:val="en-GB"/>
        </w:rPr>
        <w:t>Interpretation:</w:t>
      </w:r>
      <w:r w:rsidRPr="00885E15">
        <w:rPr>
          <w:lang w:val="en-GB"/>
        </w:rPr>
        <w:br/>
        <w:t>Project B offers a slightly higher IRR, indicating a more efficient return per pound invested. However, this should be considered alongside NPV and other strategic factors when making a final decision.</w:t>
      </w:r>
    </w:p>
    <w:p w14:paraId="1FFCBBA0" w14:textId="77777777" w:rsidR="00D61879" w:rsidRDefault="00000000">
      <w:pPr>
        <w:pStyle w:val="Heading1"/>
      </w:pPr>
      <w:r>
        <w:t>3. Payback Period Analysis</w:t>
      </w:r>
    </w:p>
    <w:tbl>
      <w:tblPr>
        <w:tblW w:w="0" w:type="auto"/>
        <w:tblLook w:val="04A0" w:firstRow="1" w:lastRow="0" w:firstColumn="1" w:lastColumn="0" w:noHBand="0" w:noVBand="1"/>
      </w:tblPr>
      <w:tblGrid>
        <w:gridCol w:w="2160"/>
        <w:gridCol w:w="2160"/>
        <w:gridCol w:w="2160"/>
        <w:gridCol w:w="2160"/>
      </w:tblGrid>
      <w:tr w:rsidR="00D61879" w14:paraId="0EFA13F1" w14:textId="77777777">
        <w:tc>
          <w:tcPr>
            <w:tcW w:w="2160" w:type="dxa"/>
          </w:tcPr>
          <w:p w14:paraId="3DB6BD32" w14:textId="77777777" w:rsidR="00D61879" w:rsidRDefault="00000000">
            <w:r>
              <w:t>Year</w:t>
            </w:r>
          </w:p>
        </w:tc>
        <w:tc>
          <w:tcPr>
            <w:tcW w:w="2160" w:type="dxa"/>
          </w:tcPr>
          <w:p w14:paraId="2684F95D" w14:textId="77777777" w:rsidR="00D61879" w:rsidRDefault="00000000">
            <w:r>
              <w:t>Cumulative Cash Flow A</w:t>
            </w:r>
          </w:p>
        </w:tc>
        <w:tc>
          <w:tcPr>
            <w:tcW w:w="2160" w:type="dxa"/>
          </w:tcPr>
          <w:p w14:paraId="565F223A" w14:textId="77777777" w:rsidR="00D61879" w:rsidRDefault="00000000">
            <w:r>
              <w:t>Cumulative Cash Flow B</w:t>
            </w:r>
          </w:p>
        </w:tc>
        <w:tc>
          <w:tcPr>
            <w:tcW w:w="2160" w:type="dxa"/>
          </w:tcPr>
          <w:p w14:paraId="1AB0E2D0" w14:textId="77777777" w:rsidR="00D61879" w:rsidRDefault="00000000">
            <w:r>
              <w:t>Recovered?</w:t>
            </w:r>
          </w:p>
        </w:tc>
      </w:tr>
      <w:tr w:rsidR="00D61879" w14:paraId="23DEAEAD" w14:textId="77777777">
        <w:tc>
          <w:tcPr>
            <w:tcW w:w="2160" w:type="dxa"/>
          </w:tcPr>
          <w:p w14:paraId="2ADBB7E1" w14:textId="77777777" w:rsidR="00D61879" w:rsidRDefault="00000000">
            <w:r>
              <w:t>1</w:t>
            </w:r>
          </w:p>
        </w:tc>
        <w:tc>
          <w:tcPr>
            <w:tcW w:w="2160" w:type="dxa"/>
          </w:tcPr>
          <w:p w14:paraId="4A29F679" w14:textId="77777777" w:rsidR="00D61879" w:rsidRDefault="00000000">
            <w:r>
              <w:t>£220,000.00</w:t>
            </w:r>
          </w:p>
        </w:tc>
        <w:tc>
          <w:tcPr>
            <w:tcW w:w="2160" w:type="dxa"/>
          </w:tcPr>
          <w:p w14:paraId="46E16197" w14:textId="77777777" w:rsidR="00D61879" w:rsidRDefault="00000000">
            <w:r>
              <w:t>£200,000.00</w:t>
            </w:r>
          </w:p>
        </w:tc>
        <w:tc>
          <w:tcPr>
            <w:tcW w:w="2160" w:type="dxa"/>
          </w:tcPr>
          <w:p w14:paraId="4F69AB55" w14:textId="77777777" w:rsidR="00D61879" w:rsidRDefault="00000000">
            <w:r>
              <w:t>No</w:t>
            </w:r>
          </w:p>
        </w:tc>
      </w:tr>
      <w:tr w:rsidR="00D61879" w14:paraId="4580BF25" w14:textId="77777777">
        <w:tc>
          <w:tcPr>
            <w:tcW w:w="2160" w:type="dxa"/>
          </w:tcPr>
          <w:p w14:paraId="30DFF1AC" w14:textId="77777777" w:rsidR="00D61879" w:rsidRDefault="00000000">
            <w:r>
              <w:t>2</w:t>
            </w:r>
          </w:p>
        </w:tc>
        <w:tc>
          <w:tcPr>
            <w:tcW w:w="2160" w:type="dxa"/>
          </w:tcPr>
          <w:p w14:paraId="1A47309F" w14:textId="77777777" w:rsidR="00D61879" w:rsidRDefault="00000000">
            <w:r>
              <w:t>£460,000.00</w:t>
            </w:r>
          </w:p>
        </w:tc>
        <w:tc>
          <w:tcPr>
            <w:tcW w:w="2160" w:type="dxa"/>
          </w:tcPr>
          <w:p w14:paraId="38211522" w14:textId="77777777" w:rsidR="00D61879" w:rsidRDefault="00000000">
            <w:r>
              <w:t>£480,000.00</w:t>
            </w:r>
          </w:p>
        </w:tc>
        <w:tc>
          <w:tcPr>
            <w:tcW w:w="2160" w:type="dxa"/>
          </w:tcPr>
          <w:p w14:paraId="68349D3B" w14:textId="77777777" w:rsidR="00D61879" w:rsidRDefault="00000000">
            <w:r>
              <w:t>No</w:t>
            </w:r>
          </w:p>
        </w:tc>
      </w:tr>
      <w:tr w:rsidR="00D61879" w14:paraId="5E6BA082" w14:textId="77777777">
        <w:tc>
          <w:tcPr>
            <w:tcW w:w="2160" w:type="dxa"/>
          </w:tcPr>
          <w:p w14:paraId="7731B8B1" w14:textId="77777777" w:rsidR="00D61879" w:rsidRDefault="00000000">
            <w:r>
              <w:t>3</w:t>
            </w:r>
          </w:p>
        </w:tc>
        <w:tc>
          <w:tcPr>
            <w:tcW w:w="2160" w:type="dxa"/>
          </w:tcPr>
          <w:p w14:paraId="49875EBA" w14:textId="77777777" w:rsidR="00D61879" w:rsidRDefault="00000000">
            <w:r>
              <w:t>£670,000.00</w:t>
            </w:r>
          </w:p>
        </w:tc>
        <w:tc>
          <w:tcPr>
            <w:tcW w:w="2160" w:type="dxa"/>
          </w:tcPr>
          <w:p w14:paraId="6949EC4B" w14:textId="77777777" w:rsidR="00D61879" w:rsidRDefault="00000000">
            <w:r>
              <w:t>£730,000.00</w:t>
            </w:r>
          </w:p>
        </w:tc>
        <w:tc>
          <w:tcPr>
            <w:tcW w:w="2160" w:type="dxa"/>
          </w:tcPr>
          <w:p w14:paraId="53FAFA92" w14:textId="77777777" w:rsidR="00D61879" w:rsidRDefault="00000000">
            <w:r>
              <w:t>No</w:t>
            </w:r>
          </w:p>
        </w:tc>
      </w:tr>
      <w:tr w:rsidR="00D61879" w14:paraId="3CF916CB" w14:textId="77777777">
        <w:tc>
          <w:tcPr>
            <w:tcW w:w="2160" w:type="dxa"/>
          </w:tcPr>
          <w:p w14:paraId="61F98386" w14:textId="77777777" w:rsidR="00D61879" w:rsidRDefault="00000000">
            <w:r>
              <w:t>4</w:t>
            </w:r>
          </w:p>
        </w:tc>
        <w:tc>
          <w:tcPr>
            <w:tcW w:w="2160" w:type="dxa"/>
          </w:tcPr>
          <w:p w14:paraId="3C37A5E3" w14:textId="77777777" w:rsidR="00D61879" w:rsidRDefault="00000000">
            <w:r>
              <w:t>£970,000.00</w:t>
            </w:r>
          </w:p>
        </w:tc>
        <w:tc>
          <w:tcPr>
            <w:tcW w:w="2160" w:type="dxa"/>
          </w:tcPr>
          <w:p w14:paraId="3DE3D91F" w14:textId="77777777" w:rsidR="00D61879" w:rsidRDefault="00000000">
            <w:r>
              <w:t>£950,000.00</w:t>
            </w:r>
          </w:p>
        </w:tc>
        <w:tc>
          <w:tcPr>
            <w:tcW w:w="2160" w:type="dxa"/>
          </w:tcPr>
          <w:p w14:paraId="690D4410" w14:textId="77777777" w:rsidR="00D61879" w:rsidRDefault="00000000">
            <w:r>
              <w:t>Yes</w:t>
            </w:r>
          </w:p>
        </w:tc>
      </w:tr>
      <w:tr w:rsidR="00D61879" w14:paraId="489EBDBB" w14:textId="77777777">
        <w:tc>
          <w:tcPr>
            <w:tcW w:w="2160" w:type="dxa"/>
          </w:tcPr>
          <w:p w14:paraId="3AEC42B0" w14:textId="77777777" w:rsidR="00D61879" w:rsidRDefault="00000000">
            <w:r>
              <w:t>5</w:t>
            </w:r>
          </w:p>
        </w:tc>
        <w:tc>
          <w:tcPr>
            <w:tcW w:w="2160" w:type="dxa"/>
          </w:tcPr>
          <w:p w14:paraId="14C724B8" w14:textId="77777777" w:rsidR="00D61879" w:rsidRDefault="00000000">
            <w:r>
              <w:t>£1,300,000.00</w:t>
            </w:r>
          </w:p>
        </w:tc>
        <w:tc>
          <w:tcPr>
            <w:tcW w:w="2160" w:type="dxa"/>
          </w:tcPr>
          <w:p w14:paraId="36D864F6" w14:textId="77777777" w:rsidR="00D61879" w:rsidRDefault="00000000">
            <w:r>
              <w:t>£1,220,000.00</w:t>
            </w:r>
          </w:p>
        </w:tc>
        <w:tc>
          <w:tcPr>
            <w:tcW w:w="2160" w:type="dxa"/>
          </w:tcPr>
          <w:p w14:paraId="26A5FB19" w14:textId="77777777" w:rsidR="00D61879" w:rsidRDefault="00000000">
            <w:r>
              <w:t>Yes</w:t>
            </w:r>
          </w:p>
        </w:tc>
      </w:tr>
    </w:tbl>
    <w:p w14:paraId="0CE18BFF" w14:textId="22CAAA73" w:rsidR="00D61879" w:rsidRDefault="00000000">
      <w:r>
        <w:t xml:space="preserve">Project A pays back in approximately Year 4 with partial year: </w:t>
      </w:r>
      <w:r w:rsidR="00A12655">
        <w:t>3.77</w:t>
      </w:r>
    </w:p>
    <w:p w14:paraId="43C4800A" w14:textId="322AE193" w:rsidR="00D61879" w:rsidRDefault="00000000">
      <w:r>
        <w:t xml:space="preserve">Project B pays back in approximately Year 4 with partial year: </w:t>
      </w:r>
      <w:r w:rsidR="00A12655">
        <w:t>3</w:t>
      </w:r>
      <w:r>
        <w:t>.55</w:t>
      </w:r>
    </w:p>
    <w:p w14:paraId="6470E7A2" w14:textId="77777777" w:rsidR="00D61879" w:rsidRDefault="00000000">
      <w:pPr>
        <w:pStyle w:val="Heading1"/>
      </w:pPr>
      <w:r>
        <w:t>4. Graphs &amp; Visual Analysis</w:t>
      </w:r>
    </w:p>
    <w:p w14:paraId="5A73102F" w14:textId="77777777" w:rsidR="00D61879" w:rsidRDefault="00000000">
      <w:r>
        <w:t>Below are visual charts supporting the financial analysis:</w:t>
      </w:r>
    </w:p>
    <w:p w14:paraId="0B40CF37" w14:textId="77777777" w:rsidR="00D61879" w:rsidRDefault="00000000">
      <w:r>
        <w:rPr>
          <w:noProof/>
        </w:rPr>
        <w:lastRenderedPageBreak/>
        <w:drawing>
          <wp:inline distT="0" distB="0" distL="0" distR="0" wp14:anchorId="3E604886" wp14:editId="0ECB0BBB">
            <wp:extent cx="5029200" cy="3017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mulative_cash_flow.png"/>
                    <pic:cNvPicPr/>
                  </pic:nvPicPr>
                  <pic:blipFill>
                    <a:blip r:embed="rId6"/>
                    <a:stretch>
                      <a:fillRect/>
                    </a:stretch>
                  </pic:blipFill>
                  <pic:spPr>
                    <a:xfrm>
                      <a:off x="0" y="0"/>
                      <a:ext cx="5029200" cy="3017520"/>
                    </a:xfrm>
                    <a:prstGeom prst="rect">
                      <a:avLst/>
                    </a:prstGeom>
                  </pic:spPr>
                </pic:pic>
              </a:graphicData>
            </a:graphic>
          </wp:inline>
        </w:drawing>
      </w:r>
    </w:p>
    <w:p w14:paraId="505A3949" w14:textId="77777777" w:rsidR="00D61879" w:rsidRDefault="00000000">
      <w:r>
        <w:rPr>
          <w:noProof/>
        </w:rPr>
        <w:drawing>
          <wp:inline distT="0" distB="0" distL="0" distR="0" wp14:anchorId="1E8DD09D" wp14:editId="4188DC0B">
            <wp:extent cx="5029200" cy="3017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v_comparison_chart.png"/>
                    <pic:cNvPicPr/>
                  </pic:nvPicPr>
                  <pic:blipFill>
                    <a:blip r:embed="rId7"/>
                    <a:stretch>
                      <a:fillRect/>
                    </a:stretch>
                  </pic:blipFill>
                  <pic:spPr>
                    <a:xfrm>
                      <a:off x="0" y="0"/>
                      <a:ext cx="5029200" cy="3017520"/>
                    </a:xfrm>
                    <a:prstGeom prst="rect">
                      <a:avLst/>
                    </a:prstGeom>
                  </pic:spPr>
                </pic:pic>
              </a:graphicData>
            </a:graphic>
          </wp:inline>
        </w:drawing>
      </w:r>
    </w:p>
    <w:p w14:paraId="30548A39" w14:textId="77777777" w:rsidR="00D61879" w:rsidRDefault="00000000">
      <w:pPr>
        <w:pStyle w:val="Heading1"/>
      </w:pPr>
      <w:r>
        <w:lastRenderedPageBreak/>
        <w:t>5. Strategic Discussion</w:t>
      </w:r>
    </w:p>
    <w:p w14:paraId="5E54655C" w14:textId="77777777" w:rsidR="003037C6" w:rsidRPr="003037C6" w:rsidRDefault="003037C6" w:rsidP="003037C6">
      <w:pPr>
        <w:pStyle w:val="Heading1"/>
        <w:rPr>
          <w:rFonts w:asciiTheme="minorHAnsi" w:hAnsiTheme="minorHAnsi"/>
          <w:b w:val="0"/>
          <w:bCs w:val="0"/>
          <w:color w:val="000000" w:themeColor="text1"/>
          <w:sz w:val="22"/>
          <w:szCs w:val="22"/>
          <w:lang w:val="en-GB"/>
        </w:rPr>
      </w:pPr>
      <w:r w:rsidRPr="003037C6">
        <w:rPr>
          <w:rFonts w:asciiTheme="minorHAnsi" w:hAnsiTheme="minorHAnsi"/>
          <w:b w:val="0"/>
          <w:bCs w:val="0"/>
          <w:color w:val="000000" w:themeColor="text1"/>
          <w:sz w:val="22"/>
          <w:szCs w:val="22"/>
          <w:lang w:val="en-GB"/>
        </w:rPr>
        <w:t>1. Project B offers better financial returns overall. It has a slightly higher Net Present Value (NPV) of £68,963.56, compared to £65,931.29 for Project A. In addition, Project B has a higher Internal Rate of Return (IRR) of 14.6%, while Project A's IRR is 13.3%. This means that, financially, Project B provides a more efficient and valuable return on investment.</w:t>
      </w:r>
    </w:p>
    <w:p w14:paraId="66C155E8" w14:textId="77777777" w:rsidR="003037C6" w:rsidRPr="003037C6" w:rsidRDefault="003037C6" w:rsidP="003037C6">
      <w:pPr>
        <w:pStyle w:val="Heading1"/>
        <w:rPr>
          <w:rFonts w:asciiTheme="minorHAnsi" w:hAnsiTheme="minorHAnsi"/>
          <w:b w:val="0"/>
          <w:bCs w:val="0"/>
          <w:color w:val="000000" w:themeColor="text1"/>
          <w:sz w:val="22"/>
          <w:szCs w:val="22"/>
          <w:lang w:val="en-GB"/>
        </w:rPr>
      </w:pPr>
      <w:r w:rsidRPr="003037C6">
        <w:rPr>
          <w:rFonts w:asciiTheme="minorHAnsi" w:hAnsiTheme="minorHAnsi"/>
          <w:b w:val="0"/>
          <w:bCs w:val="0"/>
          <w:color w:val="000000" w:themeColor="text1"/>
          <w:sz w:val="22"/>
          <w:szCs w:val="22"/>
          <w:lang w:val="en-GB"/>
        </w:rPr>
        <w:t>2. Project B also pays back the initial investment slightly sooner than Project A. The calculated payback period for Project B is 3.55 years, while Project A takes 3.77 years to recover its investment. This faster payback suggests lower short-term risk and quicker access to reinvested capital.</w:t>
      </w:r>
    </w:p>
    <w:p w14:paraId="22099D2B" w14:textId="77777777" w:rsidR="003037C6" w:rsidRPr="003037C6" w:rsidRDefault="003037C6" w:rsidP="003037C6">
      <w:pPr>
        <w:pStyle w:val="Heading1"/>
        <w:rPr>
          <w:rFonts w:asciiTheme="minorHAnsi" w:hAnsiTheme="minorHAnsi"/>
          <w:b w:val="0"/>
          <w:bCs w:val="0"/>
          <w:color w:val="000000" w:themeColor="text1"/>
          <w:sz w:val="22"/>
          <w:szCs w:val="22"/>
          <w:lang w:val="en-GB"/>
        </w:rPr>
      </w:pPr>
      <w:r w:rsidRPr="003037C6">
        <w:rPr>
          <w:rFonts w:asciiTheme="minorHAnsi" w:hAnsiTheme="minorHAnsi"/>
          <w:b w:val="0"/>
          <w:bCs w:val="0"/>
          <w:color w:val="000000" w:themeColor="text1"/>
          <w:sz w:val="22"/>
          <w:szCs w:val="22"/>
          <w:lang w:val="en-GB"/>
        </w:rPr>
        <w:t>3. In terms of cash flow variability, Project A appears to be more stable. Its inflows increase gradually over the five years, ending with a strong cash flow of £330,000 in Year 5. Project B, while delivering higher early returns such as £280,000 in Year 2, shows more fluctuation and a slight decline in later years. This indicates that Project A may present less risk from unpredictable cash flow performance over time.</w:t>
      </w:r>
    </w:p>
    <w:p w14:paraId="65DF4612" w14:textId="77777777" w:rsidR="003037C6" w:rsidRPr="003037C6" w:rsidRDefault="003037C6" w:rsidP="003037C6">
      <w:pPr>
        <w:pStyle w:val="Heading1"/>
        <w:rPr>
          <w:rFonts w:asciiTheme="minorHAnsi" w:hAnsiTheme="minorHAnsi"/>
          <w:b w:val="0"/>
          <w:bCs w:val="0"/>
          <w:color w:val="000000" w:themeColor="text1"/>
          <w:sz w:val="22"/>
          <w:szCs w:val="22"/>
          <w:lang w:val="en-GB"/>
        </w:rPr>
      </w:pPr>
      <w:r w:rsidRPr="003037C6">
        <w:rPr>
          <w:rFonts w:asciiTheme="minorHAnsi" w:hAnsiTheme="minorHAnsi"/>
          <w:b w:val="0"/>
          <w:bCs w:val="0"/>
          <w:color w:val="000000" w:themeColor="text1"/>
          <w:sz w:val="22"/>
          <w:szCs w:val="22"/>
          <w:lang w:val="en-GB"/>
        </w:rPr>
        <w:t>4. If environmental marketing value is taken into account, this could strongly influence the recommendation in favour of Project A. The project involves energy-positive modular school buildings, which support sustainable development and align with environmental priorities. This could enhance the organisation’s public image, attract eco-conscious investors, and potentially qualify for environmental grants or government incentives, making Project A more appealing beyond just financial metrics.</w:t>
      </w:r>
    </w:p>
    <w:p w14:paraId="41901D5F" w14:textId="77777777" w:rsidR="003037C6" w:rsidRPr="003037C6" w:rsidRDefault="003037C6" w:rsidP="003037C6">
      <w:pPr>
        <w:pStyle w:val="Heading1"/>
        <w:rPr>
          <w:rFonts w:asciiTheme="minorHAnsi" w:hAnsiTheme="minorHAnsi"/>
          <w:b w:val="0"/>
          <w:bCs w:val="0"/>
          <w:color w:val="000000" w:themeColor="text1"/>
          <w:sz w:val="22"/>
          <w:szCs w:val="22"/>
          <w:lang w:val="en-GB"/>
        </w:rPr>
      </w:pPr>
      <w:r w:rsidRPr="003037C6">
        <w:rPr>
          <w:rFonts w:asciiTheme="minorHAnsi" w:hAnsiTheme="minorHAnsi"/>
          <w:b w:val="0"/>
          <w:bCs w:val="0"/>
          <w:color w:val="000000" w:themeColor="text1"/>
          <w:sz w:val="22"/>
          <w:szCs w:val="22"/>
          <w:lang w:val="en-GB"/>
        </w:rPr>
        <w:t>5. The final recommendation depends on strategic priorities. From a purely financial perspective, Project B is the stronger choice due to its higher NPV, higher IRR, and quicker payback period. However, if long-term environmental benefits, brand reputation, and sustainability objectives are important to the organisation, then Project A may be the better option. Each project has merit, but based solely on the financial analysis provided, Project B is recommended.</w:t>
      </w:r>
    </w:p>
    <w:p w14:paraId="2B645864" w14:textId="77777777" w:rsidR="00D61879" w:rsidRDefault="00000000">
      <w:pPr>
        <w:pStyle w:val="Heading1"/>
      </w:pPr>
      <w:r>
        <w:t>6. References</w:t>
      </w:r>
    </w:p>
    <w:p w14:paraId="2D5A4302" w14:textId="1EE377AE" w:rsidR="003037C6" w:rsidRPr="003037C6" w:rsidRDefault="003037C6" w:rsidP="003037C6">
      <w:pPr>
        <w:rPr>
          <w:lang w:val="en-GB"/>
        </w:rPr>
      </w:pPr>
      <w:r w:rsidRPr="003037C6">
        <w:rPr>
          <w:b/>
          <w:bCs/>
          <w:lang w:val="en-GB"/>
        </w:rPr>
        <w:t>Investopedia. (2024). Net Present Value (NPV).</w:t>
      </w:r>
      <w:r w:rsidRPr="003037C6">
        <w:rPr>
          <w:lang w:val="en-GB"/>
        </w:rPr>
        <w:t xml:space="preserve"> </w:t>
      </w:r>
      <w:hyperlink r:id="rId8" w:history="1">
        <w:r w:rsidRPr="003037C6">
          <w:rPr>
            <w:rStyle w:val="Hyperlink"/>
            <w:lang w:val="en-GB"/>
          </w:rPr>
          <w:t>https://www.investopedia.com/terms/n/npv.asp</w:t>
        </w:r>
      </w:hyperlink>
      <w:r>
        <w:rPr>
          <w:lang w:val="en-GB"/>
        </w:rPr>
        <w:t xml:space="preserve"> </w:t>
      </w:r>
    </w:p>
    <w:p w14:paraId="7AC98162" w14:textId="229B0EF3" w:rsidR="003037C6" w:rsidRPr="003037C6" w:rsidRDefault="003037C6" w:rsidP="003037C6">
      <w:pPr>
        <w:rPr>
          <w:lang w:val="en-GB"/>
        </w:rPr>
      </w:pPr>
      <w:r w:rsidRPr="003037C6">
        <w:rPr>
          <w:b/>
          <w:bCs/>
          <w:lang w:val="en-GB"/>
        </w:rPr>
        <w:t>Investopedia. (2024). Internal Rate of Return (IRR).</w:t>
      </w:r>
      <w:r>
        <w:rPr>
          <w:lang w:val="en-GB"/>
        </w:rPr>
        <w:t xml:space="preserve"> </w:t>
      </w:r>
      <w:hyperlink r:id="rId9" w:history="1">
        <w:r w:rsidRPr="003037C6">
          <w:rPr>
            <w:rStyle w:val="Hyperlink"/>
            <w:lang w:val="en-GB"/>
          </w:rPr>
          <w:t>https://www.investopedia.com/terms/i/irr.asp</w:t>
        </w:r>
      </w:hyperlink>
      <w:r>
        <w:rPr>
          <w:lang w:val="en-GB"/>
        </w:rPr>
        <w:t xml:space="preserve"> </w:t>
      </w:r>
      <w:r w:rsidRPr="003037C6">
        <w:rPr>
          <w:lang w:val="en-GB"/>
        </w:rPr>
        <w:br/>
      </w:r>
    </w:p>
    <w:p w14:paraId="1F758EC1" w14:textId="54730DC4" w:rsidR="003037C6" w:rsidRPr="003037C6" w:rsidRDefault="003037C6" w:rsidP="003037C6">
      <w:pPr>
        <w:rPr>
          <w:lang w:val="en-GB"/>
        </w:rPr>
      </w:pPr>
      <w:r w:rsidRPr="003037C6">
        <w:rPr>
          <w:b/>
          <w:bCs/>
          <w:lang w:val="en-GB"/>
        </w:rPr>
        <w:lastRenderedPageBreak/>
        <w:t>Corporate Finance Institute (CFI). (2023). Payback Period.</w:t>
      </w:r>
      <w:r w:rsidRPr="003037C6">
        <w:rPr>
          <w:lang w:val="en-GB"/>
        </w:rPr>
        <w:br/>
      </w:r>
      <w:hyperlink r:id="rId10" w:history="1">
        <w:r w:rsidRPr="003037C6">
          <w:rPr>
            <w:rStyle w:val="Hyperlink"/>
            <w:lang w:val="en-GB"/>
          </w:rPr>
          <w:t>https://corporatefinanceinstitute.com/resources/valuation/payback-period/</w:t>
        </w:r>
      </w:hyperlink>
      <w:r>
        <w:rPr>
          <w:lang w:val="en-GB"/>
        </w:rPr>
        <w:t xml:space="preserve"> </w:t>
      </w:r>
    </w:p>
    <w:p w14:paraId="0B790FD0" w14:textId="31E15A84" w:rsidR="00D61879" w:rsidRDefault="00D61879" w:rsidP="003037C6"/>
    <w:sectPr w:rsidR="00D6187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1B0542"/>
    <w:multiLevelType w:val="multilevel"/>
    <w:tmpl w:val="EFC2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4C0BD8"/>
    <w:multiLevelType w:val="multilevel"/>
    <w:tmpl w:val="1280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284A51"/>
    <w:multiLevelType w:val="multilevel"/>
    <w:tmpl w:val="8428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604316"/>
    <w:multiLevelType w:val="multilevel"/>
    <w:tmpl w:val="D424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487C6A"/>
    <w:multiLevelType w:val="multilevel"/>
    <w:tmpl w:val="641C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F24AB5"/>
    <w:multiLevelType w:val="multilevel"/>
    <w:tmpl w:val="934A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5004F4"/>
    <w:multiLevelType w:val="multilevel"/>
    <w:tmpl w:val="5C2A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8614025">
    <w:abstractNumId w:val="8"/>
  </w:num>
  <w:num w:numId="2" w16cid:durableId="1378973118">
    <w:abstractNumId w:val="6"/>
  </w:num>
  <w:num w:numId="3" w16cid:durableId="274334863">
    <w:abstractNumId w:val="5"/>
  </w:num>
  <w:num w:numId="4" w16cid:durableId="356005265">
    <w:abstractNumId w:val="4"/>
  </w:num>
  <w:num w:numId="5" w16cid:durableId="1539200691">
    <w:abstractNumId w:val="7"/>
  </w:num>
  <w:num w:numId="6" w16cid:durableId="791292533">
    <w:abstractNumId w:val="3"/>
  </w:num>
  <w:num w:numId="7" w16cid:durableId="539056842">
    <w:abstractNumId w:val="2"/>
  </w:num>
  <w:num w:numId="8" w16cid:durableId="876310585">
    <w:abstractNumId w:val="1"/>
  </w:num>
  <w:num w:numId="9" w16cid:durableId="861240329">
    <w:abstractNumId w:val="0"/>
  </w:num>
  <w:num w:numId="10" w16cid:durableId="363676454">
    <w:abstractNumId w:val="11"/>
  </w:num>
  <w:num w:numId="11" w16cid:durableId="242494956">
    <w:abstractNumId w:val="12"/>
  </w:num>
  <w:num w:numId="12" w16cid:durableId="451941907">
    <w:abstractNumId w:val="13"/>
  </w:num>
  <w:num w:numId="13" w16cid:durableId="386271321">
    <w:abstractNumId w:val="9"/>
  </w:num>
  <w:num w:numId="14" w16cid:durableId="1626276169">
    <w:abstractNumId w:val="14"/>
  </w:num>
  <w:num w:numId="15" w16cid:durableId="1115366071">
    <w:abstractNumId w:val="10"/>
  </w:num>
  <w:num w:numId="16" w16cid:durableId="14596870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037C6"/>
    <w:rsid w:val="00316266"/>
    <w:rsid w:val="00326F90"/>
    <w:rsid w:val="00885E15"/>
    <w:rsid w:val="00A12655"/>
    <w:rsid w:val="00AA1D8D"/>
    <w:rsid w:val="00B47730"/>
    <w:rsid w:val="00CB0664"/>
    <w:rsid w:val="00D6187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6134FF"/>
  <w14:defaultImageDpi w14:val="300"/>
  <w15:docId w15:val="{B08C163B-3EAD-45B4-84C0-726876291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3037C6"/>
    <w:rPr>
      <w:color w:val="0000FF" w:themeColor="hyperlink"/>
      <w:u w:val="single"/>
    </w:rPr>
  </w:style>
  <w:style w:type="character" w:styleId="UnresolvedMention">
    <w:name w:val="Unresolved Mention"/>
    <w:basedOn w:val="DefaultParagraphFont"/>
    <w:uiPriority w:val="99"/>
    <w:semiHidden/>
    <w:unhideWhenUsed/>
    <w:rsid w:val="00303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n/npv.asp"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orporatefinanceinstitute.com/resources/valuation/payback-period/" TargetMode="External"/><Relationship Id="rId4" Type="http://schemas.openxmlformats.org/officeDocument/2006/relationships/settings" Target="settings.xml"/><Relationship Id="rId9" Type="http://schemas.openxmlformats.org/officeDocument/2006/relationships/hyperlink" Target="https://www.investopedia.com/terms/i/irr.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Kolchuma Begum</cp:lastModifiedBy>
  <cp:revision>4</cp:revision>
  <dcterms:created xsi:type="dcterms:W3CDTF">2025-07-29T13:38:00Z</dcterms:created>
  <dcterms:modified xsi:type="dcterms:W3CDTF">2025-07-31T14:39:00Z</dcterms:modified>
  <cp:category/>
</cp:coreProperties>
</file>